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B7" w:rsidRDefault="000459B7" w:rsidP="002253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459B7" w:rsidRDefault="000459B7" w:rsidP="002253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15EA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strany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BB12CF">
      <w:pPr>
        <w:pStyle w:val="Nadpis1"/>
        <w:numPr>
          <w:ilvl w:val="0"/>
          <w:numId w:val="10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F015EA">
        <w:rPr>
          <w:rFonts w:ascii="Tahoma" w:hAnsi="Tahoma" w:cs="Tahoma"/>
          <w:sz w:val="20"/>
          <w:szCs w:val="20"/>
        </w:rPr>
        <w:t>Objednávateľ: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="004533C3">
        <w:rPr>
          <w:rFonts w:ascii="Tahoma" w:hAnsi="Tahoma" w:cs="Tahoma"/>
          <w:sz w:val="20"/>
          <w:szCs w:val="20"/>
        </w:rPr>
        <w:t>RUBBER 24, s.r.o.</w:t>
      </w:r>
      <w:r w:rsidRPr="00F015EA">
        <w:rPr>
          <w:rFonts w:ascii="Tahoma" w:hAnsi="Tahoma" w:cs="Tahoma"/>
          <w:sz w:val="20"/>
          <w:szCs w:val="20"/>
        </w:rPr>
        <w:tab/>
      </w:r>
      <w:bookmarkEnd w:id="0"/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F015EA">
        <w:rPr>
          <w:rFonts w:ascii="Tahoma" w:hAnsi="Tahoma" w:cs="Tahoma"/>
          <w:sz w:val="20"/>
          <w:szCs w:val="20"/>
        </w:rPr>
        <w:t xml:space="preserve">Sídlo: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bookmarkEnd w:id="1"/>
      <w:r w:rsidR="004533C3">
        <w:rPr>
          <w:rFonts w:ascii="Tahoma" w:hAnsi="Tahoma" w:cs="Tahoma"/>
          <w:sz w:val="20"/>
          <w:szCs w:val="20"/>
        </w:rPr>
        <w:t>Remenárska 1220</w:t>
      </w:r>
      <w:r w:rsidRPr="00F015EA">
        <w:rPr>
          <w:rFonts w:ascii="Tahoma" w:hAnsi="Tahoma" w:cs="Tahoma"/>
          <w:sz w:val="20"/>
          <w:szCs w:val="20"/>
        </w:rPr>
        <w:t xml:space="preserve">, 956 18 Bošany, </w:t>
      </w:r>
    </w:p>
    <w:p w:rsidR="00225321" w:rsidRPr="00F015EA" w:rsidRDefault="00225321" w:rsidP="0022532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="002E5951">
        <w:rPr>
          <w:rFonts w:ascii="Tahoma" w:hAnsi="Tahoma" w:cs="Tahoma"/>
          <w:sz w:val="20"/>
          <w:szCs w:val="20"/>
        </w:rPr>
        <w:t>JUDr. Martin Miškeje</w:t>
      </w:r>
      <w:r w:rsidRPr="00F015EA">
        <w:rPr>
          <w:rFonts w:ascii="Tahoma" w:hAnsi="Tahoma" w:cs="Tahoma"/>
          <w:sz w:val="20"/>
          <w:szCs w:val="20"/>
        </w:rPr>
        <w:t>, konateľ</w:t>
      </w:r>
      <w:bookmarkEnd w:id="2"/>
    </w:p>
    <w:p w:rsidR="00225321" w:rsidRPr="007F59BC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F59BC">
        <w:rPr>
          <w:rFonts w:ascii="Tahoma" w:hAnsi="Tahoma" w:cs="Tahoma"/>
          <w:color w:val="auto"/>
          <w:sz w:val="20"/>
          <w:szCs w:val="20"/>
        </w:rPr>
        <w:t>IČO: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="002E5951" w:rsidRPr="007F59BC">
        <w:rPr>
          <w:rFonts w:ascii="Tahoma" w:hAnsi="Tahoma" w:cs="Tahoma"/>
          <w:color w:val="auto"/>
          <w:sz w:val="20"/>
          <w:szCs w:val="20"/>
        </w:rPr>
        <w:t>50157370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7F59BC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F59BC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C74584" w:rsidRPr="007F59BC">
        <w:rPr>
          <w:rStyle w:val="ra"/>
          <w:rFonts w:ascii="Tahoma" w:hAnsi="Tahoma" w:cs="Tahoma"/>
          <w:color w:val="auto"/>
          <w:sz w:val="20"/>
          <w:szCs w:val="20"/>
        </w:rPr>
        <w:t>2120211533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7F59BC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F59BC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F59BC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C74584" w:rsidRPr="007F59BC">
        <w:rPr>
          <w:rStyle w:val="ra"/>
          <w:rFonts w:ascii="Tahoma" w:hAnsi="Tahoma" w:cs="Tahoma"/>
          <w:color w:val="auto"/>
          <w:sz w:val="20"/>
          <w:szCs w:val="20"/>
        </w:rPr>
        <w:t>SK2120211533</w:t>
      </w:r>
    </w:p>
    <w:p w:rsidR="00225321" w:rsidRPr="007F59BC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F59BC">
        <w:rPr>
          <w:rFonts w:ascii="Tahoma" w:hAnsi="Tahoma" w:cs="Tahoma"/>
          <w:color w:val="auto"/>
          <w:sz w:val="20"/>
          <w:szCs w:val="20"/>
        </w:rPr>
        <w:t>Bankové spojenie: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="00C74584" w:rsidRPr="007F59BC">
        <w:rPr>
          <w:rFonts w:ascii="Tahoma" w:hAnsi="Tahoma" w:cs="Tahoma"/>
          <w:color w:val="auto"/>
          <w:sz w:val="20"/>
          <w:szCs w:val="20"/>
        </w:rPr>
        <w:t xml:space="preserve">VÚB, a.s. </w:t>
      </w:r>
    </w:p>
    <w:p w:rsidR="00C74584" w:rsidRPr="007F59BC" w:rsidRDefault="00225321" w:rsidP="00C74584">
      <w:pPr>
        <w:shd w:val="clear" w:color="auto" w:fill="FFFFFF"/>
        <w:ind w:firstLine="708"/>
        <w:rPr>
          <w:rFonts w:ascii="Tahoma" w:hAnsi="Tahoma" w:cs="Tahoma"/>
          <w:color w:val="auto"/>
          <w:sz w:val="20"/>
          <w:szCs w:val="20"/>
        </w:rPr>
      </w:pPr>
      <w:r w:rsidRPr="007F59BC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="00C74584" w:rsidRPr="007F59BC">
        <w:rPr>
          <w:rFonts w:ascii="Tahoma" w:hAnsi="Tahoma" w:cs="Tahoma"/>
          <w:color w:val="auto"/>
          <w:sz w:val="20"/>
          <w:szCs w:val="20"/>
        </w:rPr>
        <w:t>SK19 0200 0000 0036 2310 3253</w:t>
      </w:r>
    </w:p>
    <w:p w:rsidR="00225321" w:rsidRPr="007F59BC" w:rsidRDefault="00225321" w:rsidP="00C74584">
      <w:pPr>
        <w:shd w:val="clear" w:color="auto" w:fill="FFFFFF"/>
        <w:ind w:firstLine="708"/>
        <w:rPr>
          <w:rFonts w:ascii="Tahoma" w:hAnsi="Tahoma" w:cs="Tahoma"/>
          <w:b/>
          <w:color w:val="auto"/>
          <w:sz w:val="20"/>
          <w:szCs w:val="20"/>
        </w:rPr>
      </w:pPr>
      <w:r w:rsidRPr="007F59BC">
        <w:rPr>
          <w:rFonts w:ascii="Tahoma" w:hAnsi="Tahoma" w:cs="Tahoma"/>
          <w:color w:val="auto"/>
          <w:sz w:val="20"/>
          <w:szCs w:val="20"/>
        </w:rPr>
        <w:t>Tel :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noProof/>
          <w:color w:val="auto"/>
          <w:sz w:val="20"/>
          <w:szCs w:val="20"/>
        </w:rPr>
        <w:t>+421</w:t>
      </w:r>
      <w:r w:rsidR="00904EFB" w:rsidRPr="007F59BC">
        <w:rPr>
          <w:rFonts w:ascii="Tahoma" w:hAnsi="Tahoma" w:cs="Tahoma"/>
          <w:noProof/>
          <w:color w:val="auto"/>
          <w:sz w:val="20"/>
          <w:szCs w:val="20"/>
        </w:rPr>
        <w:t xml:space="preserve"> 917 588 </w:t>
      </w:r>
      <w:r w:rsidRPr="007F59BC">
        <w:rPr>
          <w:rFonts w:ascii="Tahoma" w:hAnsi="Tahoma" w:cs="Tahoma"/>
          <w:noProof/>
          <w:color w:val="auto"/>
          <w:sz w:val="20"/>
          <w:szCs w:val="20"/>
        </w:rPr>
        <w:t>7</w:t>
      </w:r>
      <w:r w:rsidR="00904EFB" w:rsidRPr="007F59BC">
        <w:rPr>
          <w:rFonts w:ascii="Tahoma" w:hAnsi="Tahoma" w:cs="Tahoma"/>
          <w:noProof/>
          <w:color w:val="auto"/>
          <w:sz w:val="20"/>
          <w:szCs w:val="20"/>
        </w:rPr>
        <w:t>38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F59BC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r w:rsidRPr="007F59BC"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="00904EFB" w:rsidRPr="007F59BC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sales@rubber24.biz</w:t>
        </w:r>
      </w:hyperlink>
      <w:r w:rsidRPr="00C74584">
        <w:rPr>
          <w:rFonts w:ascii="Tahoma" w:hAnsi="Tahoma" w:cs="Tahoma"/>
          <w:color w:val="76923C" w:themeColor="accent3" w:themeShade="BF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 (ďalej len : „</w:t>
      </w:r>
      <w:r w:rsidR="007B3707">
        <w:rPr>
          <w:rFonts w:ascii="Tahoma" w:hAnsi="Tahoma" w:cs="Tahoma"/>
          <w:sz w:val="20"/>
          <w:szCs w:val="20"/>
        </w:rPr>
        <w:t>o</w:t>
      </w:r>
      <w:r w:rsidRPr="00F015EA">
        <w:rPr>
          <w:rFonts w:ascii="Tahoma" w:hAnsi="Tahoma" w:cs="Tahoma"/>
          <w:sz w:val="20"/>
          <w:szCs w:val="20"/>
        </w:rPr>
        <w:t>bjednávateľ“ )</w:t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</w:p>
    <w:p w:rsidR="00225321" w:rsidRPr="00F015EA" w:rsidRDefault="00225321" w:rsidP="00BB12CF">
      <w:pPr>
        <w:pStyle w:val="Nadpis1"/>
        <w:numPr>
          <w:ilvl w:val="0"/>
          <w:numId w:val="10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F015EA">
        <w:rPr>
          <w:rFonts w:ascii="Tahoma" w:hAnsi="Tahoma" w:cs="Tahoma"/>
          <w:sz w:val="20"/>
          <w:szCs w:val="20"/>
        </w:rPr>
        <w:t>Dodávateľ :</w:t>
      </w:r>
      <w:bookmarkEnd w:id="3"/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Sídlo: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IČO: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Style w:val="ra"/>
          <w:rFonts w:ascii="Tahoma" w:hAnsi="Tahoma" w:cs="Tahoma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 DPH 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15EA">
        <w:rPr>
          <w:rFonts w:ascii="Tahoma" w:eastAsia="STXihei" w:hAnsi="Tahoma" w:cs="Tahoma"/>
          <w:sz w:val="20"/>
          <w:szCs w:val="20"/>
        </w:rPr>
        <w:t>Bankové spojenie:</w:t>
      </w:r>
      <w:r w:rsidRPr="00F015EA">
        <w:rPr>
          <w:rFonts w:ascii="Tahoma" w:eastAsia="STXihei" w:hAnsi="Tahoma" w:cs="Tahoma"/>
          <w:sz w:val="20"/>
          <w:szCs w:val="20"/>
        </w:rPr>
        <w:tab/>
      </w:r>
    </w:p>
    <w:p w:rsidR="00225321" w:rsidRPr="00F015EA" w:rsidRDefault="003E2342" w:rsidP="002253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eastAsia="STXihei" w:hAnsi="Tahoma" w:cs="Tahoma"/>
          <w:sz w:val="20"/>
          <w:szCs w:val="20"/>
        </w:rPr>
        <w:t>IBAN</w:t>
      </w:r>
      <w:r w:rsidR="00225321" w:rsidRPr="00F015EA">
        <w:rPr>
          <w:rFonts w:ascii="Tahoma" w:eastAsia="STXihei" w:hAnsi="Tahoma" w:cs="Tahoma"/>
          <w:sz w:val="20"/>
          <w:szCs w:val="20"/>
        </w:rPr>
        <w:t xml:space="preserve">: 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Tel 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Email 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(</w:t>
      </w:r>
      <w:r w:rsidRPr="00A14050">
        <w:rPr>
          <w:rFonts w:ascii="Tahoma" w:hAnsi="Tahoma" w:cs="Tahoma"/>
          <w:sz w:val="20"/>
          <w:szCs w:val="20"/>
        </w:rPr>
        <w:t>ďalej len „</w:t>
      </w:r>
      <w:r w:rsidR="007B3707">
        <w:rPr>
          <w:rFonts w:ascii="Tahoma" w:hAnsi="Tahoma" w:cs="Tahoma"/>
          <w:sz w:val="20"/>
          <w:szCs w:val="20"/>
        </w:rPr>
        <w:t>d</w:t>
      </w:r>
      <w:r w:rsidRPr="00A14050">
        <w:rPr>
          <w:rFonts w:ascii="Tahoma" w:hAnsi="Tahoma" w:cs="Tahoma"/>
          <w:sz w:val="20"/>
          <w:szCs w:val="20"/>
        </w:rPr>
        <w:t>odávateľ“ )</w:t>
      </w:r>
      <w:r w:rsidRPr="00F015EA">
        <w:rPr>
          <w:rFonts w:ascii="Tahoma" w:hAnsi="Tahoma" w:cs="Tahoma"/>
          <w:b/>
          <w:sz w:val="20"/>
          <w:szCs w:val="20"/>
        </w:rPr>
        <w:tab/>
      </w:r>
    </w:p>
    <w:p w:rsidR="00225321" w:rsidRPr="00F015EA" w:rsidRDefault="00225321" w:rsidP="002253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C1"/>
        <w:rPr>
          <w:rFonts w:ascii="Tahoma" w:hAnsi="Tahoma" w:cs="Tahoma"/>
          <w:b w:val="0"/>
        </w:rPr>
      </w:pPr>
      <w:r w:rsidRPr="00F015EA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predložená v procese obstarávania  s názvom: „</w:t>
      </w:r>
      <w:r w:rsidR="00E27496">
        <w:rPr>
          <w:rFonts w:ascii="Tahoma" w:eastAsiaTheme="minorHAnsi" w:hAnsi="Tahoma" w:cs="Tahoma"/>
          <w:b w:val="0"/>
          <w:color w:val="auto"/>
          <w:lang w:eastAsia="en-US"/>
        </w:rPr>
        <w:t>Technológie do výrobného procesu</w:t>
      </w:r>
      <w:r w:rsidRPr="00F015EA">
        <w:rPr>
          <w:rFonts w:ascii="Tahoma" w:hAnsi="Tahoma" w:cs="Tahoma"/>
          <w:b w:val="0"/>
        </w:rPr>
        <w:t>“.</w:t>
      </w: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II</w:t>
      </w:r>
    </w:p>
    <w:p w:rsidR="00225321" w:rsidRPr="00F015EA" w:rsidRDefault="00225321" w:rsidP="002253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Predmet zmluvy</w:t>
      </w:r>
    </w:p>
    <w:p w:rsidR="00225321" w:rsidRPr="00286DD3" w:rsidRDefault="00225321" w:rsidP="00BB12CF">
      <w:pPr>
        <w:pStyle w:val="Zarkazkladnhotextu21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Predmetom zmluvy 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je dodávka </w:t>
      </w:r>
      <w:r w:rsidR="00286DD3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.............................................................................................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.</w:t>
      </w:r>
    </w:p>
    <w:p w:rsidR="00286DD3" w:rsidRPr="00F015EA" w:rsidRDefault="00286DD3" w:rsidP="00286DD3">
      <w:pPr>
        <w:pStyle w:val="Zarkazkladnhotextu21"/>
        <w:autoSpaceDE w:val="0"/>
        <w:autoSpaceDN w:val="0"/>
        <w:adjustRightInd w:val="0"/>
        <w:ind w:left="426" w:firstLine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" w:hAnsi="Tahoma" w:cs="Tahoma"/>
          <w:color w:val="FF0000"/>
          <w:sz w:val="16"/>
          <w:szCs w:val="16"/>
        </w:rPr>
        <w:tab/>
      </w:r>
      <w:r>
        <w:rPr>
          <w:rFonts w:ascii="Tahoma" w:eastAsia="Arial" w:hAnsi="Tahoma" w:cs="Tahoma"/>
          <w:color w:val="FF0000"/>
          <w:sz w:val="16"/>
          <w:szCs w:val="16"/>
        </w:rPr>
        <w:tab/>
      </w:r>
      <w:r>
        <w:rPr>
          <w:rFonts w:ascii="Tahoma" w:eastAsia="Arial" w:hAnsi="Tahoma" w:cs="Tahoma"/>
          <w:color w:val="FF0000"/>
          <w:sz w:val="16"/>
          <w:szCs w:val="16"/>
        </w:rPr>
        <w:tab/>
      </w:r>
      <w:r w:rsidR="007F59BC">
        <w:rPr>
          <w:rFonts w:ascii="Tahoma" w:eastAsia="Arial" w:hAnsi="Tahoma" w:cs="Tahoma"/>
          <w:color w:val="FF0000"/>
          <w:sz w:val="16"/>
          <w:szCs w:val="16"/>
        </w:rPr>
        <w:t xml:space="preserve">                         </w:t>
      </w:r>
      <w:r w:rsidRPr="00A14050">
        <w:rPr>
          <w:rFonts w:ascii="Tahoma" w:hAnsi="Tahoma" w:cs="Tahoma"/>
          <w:color w:val="FF0000"/>
          <w:sz w:val="16"/>
          <w:szCs w:val="16"/>
        </w:rPr>
        <w:t xml:space="preserve">(uchádzač uvedie </w:t>
      </w:r>
      <w:r>
        <w:rPr>
          <w:rFonts w:ascii="Tahoma" w:hAnsi="Tahoma" w:cs="Tahoma"/>
          <w:color w:val="FF0000"/>
          <w:sz w:val="16"/>
          <w:szCs w:val="16"/>
        </w:rPr>
        <w:t>názov časti predmetu zákazky na ktorú predkladá ponuku</w:t>
      </w:r>
      <w:r w:rsidRPr="00A14050">
        <w:rPr>
          <w:rFonts w:ascii="Tahoma" w:hAnsi="Tahoma" w:cs="Tahoma"/>
          <w:color w:val="FF0000"/>
          <w:sz w:val="16"/>
          <w:szCs w:val="16"/>
        </w:rPr>
        <w:t>)</w:t>
      </w:r>
    </w:p>
    <w:p w:rsidR="00225321" w:rsidRPr="00F015EA" w:rsidRDefault="00225321" w:rsidP="00225321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225321" w:rsidRPr="00A14050" w:rsidRDefault="00225321" w:rsidP="00BB12CF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F015EA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="007F59BC">
        <w:rPr>
          <w:rFonts w:ascii="Tahoma" w:eastAsia="Arial" w:hAnsi="Tahoma" w:cs="Tahoma"/>
          <w:color w:val="FF0000"/>
          <w:sz w:val="20"/>
          <w:szCs w:val="20"/>
        </w:rPr>
        <w:t xml:space="preserve">             </w:t>
      </w:r>
      <w:r w:rsidRPr="00A14050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225321" w:rsidRPr="00F015EA" w:rsidRDefault="00225321" w:rsidP="00BB12CF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Podrobná špecifikácia predmetu zmluvy je uvedená v Prílohe č. 1.  tejto zmluvy. </w:t>
      </w:r>
    </w:p>
    <w:p w:rsidR="00225321" w:rsidRDefault="00225321" w:rsidP="00BB12CF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225321" w:rsidRPr="00EC0A33" w:rsidRDefault="00225321" w:rsidP="00BB12CF">
      <w:pPr>
        <w:pStyle w:val="Zkladntext3"/>
        <w:numPr>
          <w:ilvl w:val="0"/>
          <w:numId w:val="12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 w:rsidRPr="00F015EA">
        <w:rPr>
          <w:rFonts w:ascii="Tahoma" w:hAnsi="Tahoma" w:cs="Tahoma"/>
          <w:bCs/>
          <w:color w:val="000000"/>
          <w:sz w:val="20"/>
        </w:rPr>
        <w:t xml:space="preserve">dodanie predmetu </w:t>
      </w:r>
      <w:r>
        <w:rPr>
          <w:rFonts w:ascii="Tahoma" w:hAnsi="Tahoma" w:cs="Tahoma"/>
          <w:bCs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doprava a dodanie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 w:rsidR="00EF5C9C">
        <w:rPr>
          <w:rFonts w:ascii="Tahoma" w:hAnsi="Tahoma" w:cs="Tahoma"/>
          <w:color w:val="000000"/>
          <w:sz w:val="20"/>
        </w:rPr>
        <w:t>o</w:t>
      </w:r>
      <w:r w:rsidRPr="00F015EA">
        <w:rPr>
          <w:rFonts w:ascii="Tahoma" w:hAnsi="Tahoma" w:cs="Tahoma"/>
          <w:color w:val="000000"/>
          <w:sz w:val="20"/>
        </w:rPr>
        <w:t xml:space="preserve"> dodania</w:t>
      </w:r>
      <w:r w:rsidR="00EF5C9C">
        <w:rPr>
          <w:rFonts w:ascii="Tahoma" w:hAnsi="Tahoma" w:cs="Tahoma"/>
          <w:color w:val="000000"/>
          <w:sz w:val="20"/>
        </w:rPr>
        <w:t xml:space="preserve"> predmetu zmluvy</w:t>
      </w:r>
      <w:r w:rsidRPr="00F015EA">
        <w:rPr>
          <w:rFonts w:ascii="Tahoma" w:hAnsi="Tahoma" w:cs="Tahoma"/>
          <w:color w:val="000000"/>
          <w:sz w:val="20"/>
        </w:rPr>
        <w:t xml:space="preserve">, ktorým je výrobný areál  </w:t>
      </w:r>
      <w:r>
        <w:rPr>
          <w:rFonts w:ascii="Tahoma" w:hAnsi="Tahoma" w:cs="Tahoma"/>
          <w:color w:val="000000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a premiestnenie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 w:rsidR="00EF5C9C">
        <w:rPr>
          <w:rFonts w:ascii="Tahoma" w:hAnsi="Tahoma" w:cs="Tahoma"/>
          <w:color w:val="000000"/>
          <w:sz w:val="20"/>
        </w:rPr>
        <w:t>o</w:t>
      </w:r>
      <w:r>
        <w:rPr>
          <w:rFonts w:ascii="Tahoma" w:hAnsi="Tahoma" w:cs="Tahoma"/>
          <w:color w:val="000000"/>
          <w:sz w:val="20"/>
        </w:rPr>
        <w:t xml:space="preserve">umiestnenia </w:t>
      </w:r>
      <w:r w:rsidRPr="00F015EA">
        <w:rPr>
          <w:rFonts w:ascii="Tahoma" w:hAnsi="Tahoma" w:cs="Tahoma"/>
          <w:color w:val="000000"/>
          <w:sz w:val="20"/>
        </w:rPr>
        <w:t xml:space="preserve">predmetu </w:t>
      </w:r>
      <w:r>
        <w:rPr>
          <w:rFonts w:ascii="Tahoma" w:hAnsi="Tahoma" w:cs="Tahoma"/>
          <w:color w:val="000000"/>
          <w:sz w:val="20"/>
        </w:rPr>
        <w:t xml:space="preserve">zmluvy </w:t>
      </w:r>
      <w:r w:rsidRPr="00F015EA">
        <w:rPr>
          <w:rFonts w:ascii="Tahoma" w:hAnsi="Tahoma" w:cs="Tahoma"/>
          <w:sz w:val="20"/>
        </w:rPr>
        <w:t xml:space="preserve">vo výrobnom areáli  </w:t>
      </w:r>
      <w:r>
        <w:rPr>
          <w:rFonts w:ascii="Tahoma" w:hAnsi="Tahoma" w:cs="Tahoma"/>
          <w:color w:val="auto"/>
          <w:sz w:val="20"/>
        </w:rPr>
        <w:t xml:space="preserve">objednávateľa </w:t>
      </w:r>
    </w:p>
    <w:p w:rsidR="00225321" w:rsidRPr="00EC0A33" w:rsidRDefault="00225321" w:rsidP="00BB12CF">
      <w:pPr>
        <w:pStyle w:val="Zkladntext3"/>
        <w:numPr>
          <w:ilvl w:val="0"/>
          <w:numId w:val="12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000000"/>
          <w:sz w:val="20"/>
        </w:rPr>
        <w:t>m</w:t>
      </w:r>
      <w:r w:rsidRPr="00F015EA">
        <w:rPr>
          <w:rFonts w:ascii="Tahoma" w:hAnsi="Tahoma" w:cs="Tahoma"/>
          <w:color w:val="000000"/>
          <w:sz w:val="20"/>
        </w:rPr>
        <w:t xml:space="preserve">ontáž a uvedenie do prevádzky predmetu </w:t>
      </w:r>
      <w:r>
        <w:rPr>
          <w:rFonts w:ascii="Tahoma" w:hAnsi="Tahoma" w:cs="Tahoma"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montáž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a zapojenie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jestvujúcich rozvodov médií </w:t>
      </w:r>
      <w:r>
        <w:rPr>
          <w:rFonts w:ascii="Tahoma" w:hAnsi="Tahoma" w:cs="Tahoma"/>
          <w:color w:val="auto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>
        <w:rPr>
          <w:rFonts w:ascii="Tahoma" w:hAnsi="Tahoma" w:cs="Tahoma"/>
          <w:color w:val="auto"/>
          <w:sz w:val="20"/>
        </w:rPr>
        <w:t>objednávateľom</w:t>
      </w:r>
      <w:r w:rsidRPr="00F015EA">
        <w:rPr>
          <w:rFonts w:ascii="Tahoma" w:hAnsi="Tahoma" w:cs="Tahoma"/>
          <w:color w:val="000000"/>
          <w:sz w:val="20"/>
        </w:rPr>
        <w:t xml:space="preserve"> stanovených pripojovacích bodov, pričom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realizovať zaistenie (ochranu)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pred poškodením a vypracovanie dokumentácie o realizácii zapojenia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a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prevádzky, t.j.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 s tým, že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preukázať dosiahnutie všetkých parametrov, ktoré sú v</w:t>
      </w:r>
      <w:r>
        <w:rPr>
          <w:rFonts w:ascii="Tahoma" w:hAnsi="Tahoma" w:cs="Tahoma"/>
          <w:color w:val="000000"/>
          <w:sz w:val="20"/>
        </w:rPr>
        <w:t> tejto zmluve a Prílohe č.1 tejto zmluvy</w:t>
      </w:r>
      <w:r w:rsidRPr="00F015EA">
        <w:rPr>
          <w:rFonts w:ascii="Tahoma" w:hAnsi="Tahoma" w:cs="Tahoma"/>
          <w:color w:val="000000"/>
          <w:sz w:val="20"/>
        </w:rPr>
        <w:t>.</w:t>
      </w:r>
    </w:p>
    <w:p w:rsidR="000459B7" w:rsidRDefault="000459B7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459B7" w:rsidRDefault="000459B7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25321" w:rsidRPr="00F015EA" w:rsidRDefault="00225321" w:rsidP="00225321">
      <w:pPr>
        <w:pStyle w:val="Odsekzoznamu"/>
        <w:widowControl w:val="0"/>
        <w:spacing w:after="240"/>
        <w:ind w:left="8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Lehota dodania a miesto dodania predmetu zmluvy</w:t>
      </w:r>
    </w:p>
    <w:p w:rsidR="00225321" w:rsidRPr="00BC7674" w:rsidRDefault="00225321" w:rsidP="00BB12CF">
      <w:pPr>
        <w:pStyle w:val="Zkladntext211"/>
        <w:widowControl w:val="0"/>
        <w:numPr>
          <w:ilvl w:val="1"/>
          <w:numId w:val="2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BC7674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objednávateľovi uplynie 2</w:t>
      </w:r>
      <w:r w:rsidR="007B3707">
        <w:rPr>
          <w:rFonts w:ascii="Tahoma" w:hAnsi="Tahoma" w:cs="Tahoma"/>
          <w:sz w:val="20"/>
          <w:szCs w:val="20"/>
          <w:lang w:val="sk-SK"/>
        </w:rPr>
        <w:t>0</w:t>
      </w:r>
      <w:r w:rsidRPr="00BC7674">
        <w:rPr>
          <w:rFonts w:ascii="Tahoma" w:hAnsi="Tahoma" w:cs="Tahoma"/>
          <w:sz w:val="20"/>
          <w:szCs w:val="20"/>
          <w:lang w:val="sk-SK"/>
        </w:rPr>
        <w:t>0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 Vystavenie objednávky objednávateľom bude </w:t>
      </w:r>
      <w:r w:rsidR="000A57F0">
        <w:rPr>
          <w:rFonts w:ascii="Tahoma" w:hAnsi="Tahoma" w:cs="Tahoma"/>
          <w:sz w:val="20"/>
          <w:szCs w:val="20"/>
          <w:lang w:val="sk-SK"/>
        </w:rPr>
        <w:t>najneskôr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90 kalendárny</w:t>
      </w:r>
      <w:r w:rsidR="00D357CA">
        <w:rPr>
          <w:rFonts w:ascii="Tahoma" w:hAnsi="Tahoma" w:cs="Tahoma"/>
          <w:sz w:val="20"/>
          <w:szCs w:val="20"/>
          <w:lang w:val="sk-SK"/>
        </w:rPr>
        <w:t xml:space="preserve"> deň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 nadobudnutia platnosti a účinnosti tejto zmluvy.</w:t>
      </w:r>
    </w:p>
    <w:p w:rsidR="00225321" w:rsidRPr="007F59BC" w:rsidRDefault="00225321" w:rsidP="00BB12CF">
      <w:pPr>
        <w:pStyle w:val="Zkladntext211"/>
        <w:widowControl w:val="0"/>
        <w:numPr>
          <w:ilvl w:val="1"/>
          <w:numId w:val="2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Miestom dodania </w:t>
      </w:r>
      <w:r w:rsidRPr="007F59BC">
        <w:rPr>
          <w:rFonts w:ascii="Tahoma" w:hAnsi="Tahoma" w:cs="Tahoma"/>
          <w:sz w:val="20"/>
          <w:szCs w:val="20"/>
          <w:lang w:val="sk-SK"/>
        </w:rPr>
        <w:t xml:space="preserve">predmetu zmluvy je </w:t>
      </w:r>
      <w:r w:rsidR="00286DD3" w:rsidRPr="007F59BC">
        <w:rPr>
          <w:rFonts w:ascii="Tahoma" w:hAnsi="Tahoma" w:cs="Tahoma"/>
          <w:sz w:val="20"/>
          <w:szCs w:val="20"/>
          <w:lang w:val="sk-SK"/>
        </w:rPr>
        <w:t xml:space="preserve">výrobný areál </w:t>
      </w:r>
      <w:r w:rsidR="004533C3" w:rsidRPr="007F59BC">
        <w:rPr>
          <w:rFonts w:ascii="Tahoma" w:hAnsi="Tahoma" w:cs="Tahoma"/>
          <w:bCs/>
          <w:sz w:val="20"/>
          <w:szCs w:val="20"/>
          <w:lang w:val="sk-SK"/>
        </w:rPr>
        <w:t>RUBBER 24, s.r.o.</w:t>
      </w:r>
      <w:r w:rsidRPr="007F59BC">
        <w:rPr>
          <w:rFonts w:ascii="Tahoma" w:hAnsi="Tahoma" w:cs="Tahoma"/>
          <w:bCs/>
          <w:sz w:val="20"/>
          <w:szCs w:val="20"/>
          <w:lang w:val="sk-SK"/>
        </w:rPr>
        <w:t xml:space="preserve">, </w:t>
      </w:r>
      <w:r w:rsidR="004533C3" w:rsidRPr="007F59BC">
        <w:rPr>
          <w:rFonts w:ascii="Tahoma" w:hAnsi="Tahoma" w:cs="Tahoma"/>
          <w:bCs/>
          <w:sz w:val="20"/>
          <w:szCs w:val="20"/>
          <w:lang w:val="sk-SK"/>
        </w:rPr>
        <w:t>Remenárska 1220</w:t>
      </w:r>
      <w:r w:rsidRPr="007F59BC">
        <w:rPr>
          <w:rFonts w:ascii="Tahoma" w:hAnsi="Tahoma" w:cs="Tahoma"/>
          <w:bCs/>
          <w:sz w:val="20"/>
          <w:szCs w:val="20"/>
          <w:lang w:val="sk-SK"/>
        </w:rPr>
        <w:t>, 956 18 Bošany</w:t>
      </w:r>
      <w:r w:rsidRPr="007F59BC">
        <w:rPr>
          <w:rFonts w:ascii="Tahoma" w:hAnsi="Tahoma" w:cs="Tahoma"/>
          <w:sz w:val="20"/>
          <w:szCs w:val="20"/>
          <w:lang w:val="sk-SK"/>
        </w:rPr>
        <w:t>.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caps/>
          <w:sz w:val="20"/>
          <w:szCs w:val="20"/>
        </w:rPr>
        <w:t>č</w:t>
      </w:r>
      <w:r w:rsidRPr="00F015EA">
        <w:rPr>
          <w:rFonts w:ascii="Tahoma" w:hAnsi="Tahoma" w:cs="Tahoma"/>
          <w:b/>
          <w:sz w:val="20"/>
          <w:szCs w:val="20"/>
        </w:rPr>
        <w:t>l. IV</w:t>
      </w:r>
    </w:p>
    <w:p w:rsidR="00225321" w:rsidRPr="00F015EA" w:rsidRDefault="00225321" w:rsidP="002253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Cena za predmet zmluvy</w:t>
      </w:r>
    </w:p>
    <w:p w:rsidR="00225321" w:rsidRPr="00F015EA" w:rsidRDefault="00225321" w:rsidP="00BB12CF">
      <w:pPr>
        <w:pStyle w:val="Zarkazkladnhotextu21"/>
        <w:numPr>
          <w:ilvl w:val="0"/>
          <w:numId w:val="14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15E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25321" w:rsidRPr="00F015EA" w:rsidRDefault="00225321" w:rsidP="00225321">
      <w:pPr>
        <w:pStyle w:val="Zarkazkladnhotextu21"/>
        <w:tabs>
          <w:tab w:val="left" w:pos="540"/>
        </w:tabs>
        <w:spacing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25321" w:rsidRPr="00F015EA" w:rsidRDefault="00225321" w:rsidP="00BB12CF">
      <w:pPr>
        <w:pStyle w:val="Zarkazkladnhotextu21"/>
        <w:numPr>
          <w:ilvl w:val="0"/>
          <w:numId w:val="1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25321" w:rsidRPr="00F015EA" w:rsidRDefault="00225321" w:rsidP="00BB12CF">
      <w:pPr>
        <w:pStyle w:val="Zarkazkladnhotextu21"/>
        <w:numPr>
          <w:ilvl w:val="0"/>
          <w:numId w:val="1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Podrobná špecifikácia ceny je uvedená v Prílohe č.2 tejto zmluvy.</w:t>
      </w:r>
    </w:p>
    <w:p w:rsidR="00225321" w:rsidRPr="00F015EA" w:rsidRDefault="00225321" w:rsidP="00BB12CF">
      <w:pPr>
        <w:pStyle w:val="Zarkazkladnhotextu21"/>
        <w:numPr>
          <w:ilvl w:val="0"/>
          <w:numId w:val="1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Platobné podmienky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0459B7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 vystavovaných dodávateľom. </w:t>
      </w:r>
    </w:p>
    <w:p w:rsidR="00225321" w:rsidRPr="00F015EA" w:rsidRDefault="00225321" w:rsidP="00BB12C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(vyúčtovaciu) faktúru až po dodaní celého predmetu zmluvy a to až po úspešnom ukončení preberacieho konania. V konečnej vyúčtovacej faktúre budú vyúčtované poskytnuté zálohové platby a predpísaná úhradu zostatku kúpnej ceny vo výške </w:t>
      </w:r>
      <w:r w:rsidR="00035585">
        <w:rPr>
          <w:rFonts w:ascii="Tahoma" w:hAnsi="Tahoma" w:cs="Tahoma"/>
          <w:color w:val="auto"/>
          <w:sz w:val="20"/>
          <w:szCs w:val="20"/>
        </w:rPr>
        <w:t>20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% ceny predmetu zmluvy. Neoddeliteľnou súčasťou faktúry bude Protokol o prebratí predmetu zmluvy.</w:t>
      </w:r>
    </w:p>
    <w:p w:rsidR="00225321" w:rsidRPr="00F015EA" w:rsidRDefault="00225321" w:rsidP="00BB12C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Splatnosť konečnej faktúry je 60 kalendárnych dní od jej preukázateľného doručenia objednávateľovi.</w:t>
      </w:r>
    </w:p>
    <w:p w:rsidR="00225321" w:rsidRPr="00F015EA" w:rsidRDefault="00225321" w:rsidP="00BB12C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225321" w:rsidRPr="00F015EA" w:rsidRDefault="00225321" w:rsidP="00BB12C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25321" w:rsidRPr="00F015EA" w:rsidRDefault="00225321" w:rsidP="00BB12CF">
      <w:pPr>
        <w:numPr>
          <w:ilvl w:val="0"/>
          <w:numId w:val="7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Obj</w:t>
      </w:r>
      <w:r w:rsidR="00D357CA">
        <w:rPr>
          <w:rFonts w:ascii="Tahoma" w:hAnsi="Tahoma" w:cs="Tahoma"/>
          <w:color w:val="auto"/>
          <w:sz w:val="20"/>
          <w:szCs w:val="20"/>
        </w:rPr>
        <w:t xml:space="preserve">ednávateľ poskytne dodávateľovi preddavok </w:t>
      </w:r>
      <w:r w:rsidRPr="00F015EA">
        <w:rPr>
          <w:rFonts w:ascii="Tahoma" w:hAnsi="Tahoma" w:cs="Tahoma"/>
          <w:color w:val="auto"/>
          <w:sz w:val="20"/>
          <w:szCs w:val="20"/>
        </w:rPr>
        <w:t>na dodanie predmetu zmluvy nasledovne :</w:t>
      </w:r>
    </w:p>
    <w:p w:rsidR="00225321" w:rsidRPr="00035585" w:rsidRDefault="00D357CA" w:rsidP="00BB12CF">
      <w:pPr>
        <w:pStyle w:val="Odsekzoznamu"/>
        <w:numPr>
          <w:ilvl w:val="0"/>
          <w:numId w:val="8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35585">
        <w:rPr>
          <w:rFonts w:ascii="Tahoma" w:hAnsi="Tahoma" w:cs="Tahoma"/>
          <w:color w:val="auto"/>
          <w:sz w:val="20"/>
          <w:szCs w:val="20"/>
        </w:rPr>
        <w:t xml:space="preserve">vo výške </w:t>
      </w:r>
      <w:r w:rsidR="00035585" w:rsidRPr="00035585">
        <w:rPr>
          <w:rFonts w:ascii="Tahoma" w:hAnsi="Tahoma" w:cs="Tahoma"/>
          <w:color w:val="auto"/>
          <w:sz w:val="20"/>
          <w:szCs w:val="20"/>
        </w:rPr>
        <w:t>30</w:t>
      </w:r>
      <w:r w:rsidR="00225321" w:rsidRPr="00035585">
        <w:rPr>
          <w:rFonts w:ascii="Tahoma" w:hAnsi="Tahoma" w:cs="Tahoma"/>
          <w:color w:val="auto"/>
          <w:sz w:val="20"/>
          <w:szCs w:val="20"/>
        </w:rPr>
        <w:t xml:space="preserve"> % ceny predmetu zmluvy v lehote do 7 kalendárnych dní od </w:t>
      </w:r>
      <w:r w:rsidR="00AB15B3" w:rsidRPr="00035585">
        <w:rPr>
          <w:rFonts w:ascii="Tahoma" w:hAnsi="Tahoma" w:cs="Tahoma"/>
          <w:color w:val="auto"/>
          <w:sz w:val="20"/>
          <w:szCs w:val="20"/>
        </w:rPr>
        <w:t>doručeni</w:t>
      </w:r>
      <w:r w:rsidRPr="00035585">
        <w:rPr>
          <w:rFonts w:ascii="Tahoma" w:hAnsi="Tahoma" w:cs="Tahoma"/>
          <w:color w:val="auto"/>
          <w:sz w:val="20"/>
          <w:szCs w:val="20"/>
        </w:rPr>
        <w:t>a</w:t>
      </w:r>
      <w:r w:rsidR="007F59BC">
        <w:rPr>
          <w:rFonts w:ascii="Tahoma" w:hAnsi="Tahoma" w:cs="Tahoma"/>
          <w:color w:val="auto"/>
          <w:sz w:val="20"/>
          <w:szCs w:val="20"/>
        </w:rPr>
        <w:t xml:space="preserve"> </w:t>
      </w:r>
      <w:r w:rsidR="000A57F0" w:rsidRPr="00035585">
        <w:rPr>
          <w:rFonts w:ascii="Tahoma" w:hAnsi="Tahoma" w:cs="Tahoma"/>
          <w:color w:val="auto"/>
          <w:sz w:val="20"/>
          <w:szCs w:val="20"/>
        </w:rPr>
        <w:t xml:space="preserve">potvrdenia </w:t>
      </w:r>
      <w:r w:rsidR="00AB15B3" w:rsidRPr="00035585">
        <w:rPr>
          <w:rFonts w:ascii="Tahoma" w:hAnsi="Tahoma" w:cs="Tahoma"/>
          <w:color w:val="auto"/>
          <w:sz w:val="20"/>
          <w:szCs w:val="20"/>
        </w:rPr>
        <w:t>objednávky na dodanie predmetu zmluvy</w:t>
      </w:r>
      <w:r w:rsidR="007F59B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35585">
        <w:rPr>
          <w:rFonts w:ascii="Tahoma" w:hAnsi="Tahoma" w:cs="Tahoma"/>
          <w:color w:val="auto"/>
          <w:sz w:val="20"/>
          <w:szCs w:val="20"/>
        </w:rPr>
        <w:t>objednávateľovi</w:t>
      </w:r>
      <w:r w:rsidR="007F59BC">
        <w:rPr>
          <w:rFonts w:ascii="Tahoma" w:hAnsi="Tahoma" w:cs="Tahoma"/>
          <w:color w:val="auto"/>
          <w:sz w:val="20"/>
          <w:szCs w:val="20"/>
        </w:rPr>
        <w:t xml:space="preserve"> </w:t>
      </w:r>
      <w:r w:rsidR="00225321" w:rsidRPr="00035585">
        <w:rPr>
          <w:rFonts w:ascii="Tahoma" w:hAnsi="Tahoma" w:cs="Tahoma"/>
          <w:color w:val="auto"/>
          <w:sz w:val="20"/>
          <w:szCs w:val="20"/>
        </w:rPr>
        <w:t>a</w:t>
      </w:r>
    </w:p>
    <w:p w:rsidR="001A44AA" w:rsidRPr="00035585" w:rsidRDefault="00D357CA" w:rsidP="00BB12CF">
      <w:pPr>
        <w:pStyle w:val="Odsekzoznamu"/>
        <w:numPr>
          <w:ilvl w:val="0"/>
          <w:numId w:val="8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035585">
        <w:rPr>
          <w:rFonts w:ascii="Tahoma" w:hAnsi="Tahoma" w:cs="Tahoma"/>
          <w:color w:val="auto"/>
          <w:sz w:val="20"/>
          <w:szCs w:val="20"/>
        </w:rPr>
        <w:t xml:space="preserve">vo výške </w:t>
      </w:r>
      <w:r w:rsidR="00035585" w:rsidRPr="00035585">
        <w:rPr>
          <w:rFonts w:ascii="Tahoma" w:hAnsi="Tahoma" w:cs="Tahoma"/>
          <w:color w:val="auto"/>
          <w:sz w:val="20"/>
          <w:szCs w:val="20"/>
        </w:rPr>
        <w:t>50</w:t>
      </w:r>
      <w:r w:rsidR="00225321" w:rsidRPr="00035585">
        <w:rPr>
          <w:rFonts w:ascii="Tahoma" w:hAnsi="Tahoma" w:cs="Tahoma"/>
          <w:color w:val="auto"/>
          <w:sz w:val="20"/>
          <w:szCs w:val="20"/>
        </w:rPr>
        <w:t xml:space="preserve"> % ceny predmetu zmluvy v lehote do 7 kalendárnych dní odo dňa </w:t>
      </w:r>
      <w:r w:rsidR="001A44AA" w:rsidRPr="00035585">
        <w:rPr>
          <w:rFonts w:ascii="Tahoma" w:hAnsi="Tahoma" w:cs="Tahoma"/>
          <w:color w:val="auto"/>
          <w:sz w:val="20"/>
          <w:szCs w:val="20"/>
        </w:rPr>
        <w:t>dodania a vyloženia všetkých komponentov predmetu zmluvy v mieste dodania predmetu zmluvy a predloženia podpísaného – Dodací list o dodaní všetkých komponentov predmetu zmluvy.</w:t>
      </w:r>
    </w:p>
    <w:p w:rsidR="00225321" w:rsidRDefault="00225321" w:rsidP="0022532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Dodávateľ je povinný vystaviť záloh</w:t>
      </w:r>
      <w:r w:rsidR="00901382">
        <w:rPr>
          <w:rFonts w:ascii="Tahoma" w:hAnsi="Tahoma" w:cs="Tahoma"/>
          <w:color w:val="auto"/>
          <w:sz w:val="20"/>
          <w:szCs w:val="20"/>
        </w:rPr>
        <w:t xml:space="preserve">ové </w:t>
      </w:r>
      <w:r w:rsidRPr="00F015EA">
        <w:rPr>
          <w:rFonts w:ascii="Tahoma" w:hAnsi="Tahoma" w:cs="Tahoma"/>
          <w:color w:val="auto"/>
          <w:sz w:val="20"/>
          <w:szCs w:val="20"/>
        </w:rPr>
        <w:t>faktúr</w:t>
      </w:r>
      <w:r w:rsidR="00901382">
        <w:rPr>
          <w:rFonts w:ascii="Tahoma" w:hAnsi="Tahoma" w:cs="Tahoma"/>
          <w:color w:val="auto"/>
          <w:sz w:val="20"/>
          <w:szCs w:val="20"/>
        </w:rPr>
        <w:t>y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na poskytnut</w:t>
      </w:r>
      <w:r w:rsidR="00901382">
        <w:rPr>
          <w:rFonts w:ascii="Tahoma" w:hAnsi="Tahoma" w:cs="Tahoma"/>
          <w:color w:val="auto"/>
          <w:sz w:val="20"/>
          <w:szCs w:val="20"/>
        </w:rPr>
        <w:t xml:space="preserve">é </w:t>
      </w:r>
      <w:r w:rsidR="00D357CA">
        <w:rPr>
          <w:rFonts w:ascii="Tahoma" w:hAnsi="Tahoma" w:cs="Tahoma"/>
          <w:color w:val="auto"/>
          <w:sz w:val="20"/>
          <w:szCs w:val="20"/>
        </w:rPr>
        <w:t>preddavk</w:t>
      </w:r>
      <w:r w:rsidR="00901382">
        <w:rPr>
          <w:rFonts w:ascii="Tahoma" w:hAnsi="Tahoma" w:cs="Tahoma"/>
          <w:color w:val="auto"/>
          <w:sz w:val="20"/>
          <w:szCs w:val="20"/>
        </w:rPr>
        <w:t>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25321" w:rsidRPr="00F015EA" w:rsidRDefault="00225321" w:rsidP="00BB12C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Celý predmet zmluvy </w:t>
      </w:r>
      <w:r w:rsidRPr="00F015EA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D74D5E" w:rsidRPr="00D74D5E" w:rsidRDefault="00225321" w:rsidP="00BB12C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C064A">
        <w:rPr>
          <w:rFonts w:ascii="Tahoma" w:hAnsi="Tahoma" w:cs="Tahoma"/>
          <w:bCs/>
          <w:color w:val="auto"/>
          <w:sz w:val="20"/>
          <w:szCs w:val="20"/>
        </w:rPr>
        <w:t xml:space="preserve">Zmluvné strany sa dohodli, že dodávateľ dodá k predmetu zmluvy všetky návody na obsluhu </w:t>
      </w:r>
      <w:r w:rsidR="00D74D5E">
        <w:rPr>
          <w:rFonts w:ascii="Tahoma" w:hAnsi="Tahoma" w:cs="Tahoma"/>
          <w:bCs/>
          <w:color w:val="auto"/>
          <w:sz w:val="20"/>
          <w:szCs w:val="20"/>
        </w:rPr>
        <w:t xml:space="preserve">a návody na </w:t>
      </w:r>
      <w:r w:rsidRPr="007C064A">
        <w:rPr>
          <w:rFonts w:ascii="Tahoma" w:hAnsi="Tahoma" w:cs="Arial"/>
          <w:color w:val="auto"/>
          <w:sz w:val="20"/>
        </w:rPr>
        <w:t>programovanie</w:t>
      </w:r>
      <w:r w:rsidR="00D74D5E">
        <w:rPr>
          <w:rFonts w:ascii="Tahoma" w:hAnsi="Tahoma" w:cs="Arial"/>
          <w:color w:val="auto"/>
          <w:sz w:val="20"/>
        </w:rPr>
        <w:t xml:space="preserve"> a návody na</w:t>
      </w:r>
      <w:r w:rsidRPr="007C064A">
        <w:rPr>
          <w:rFonts w:ascii="Tahoma" w:hAnsi="Tahoma" w:cs="Arial"/>
          <w:color w:val="auto"/>
          <w:sz w:val="20"/>
        </w:rPr>
        <w:t xml:space="preserve"> údržbu a zoznam chybových hlásení v slovenskom jazyku.</w:t>
      </w:r>
    </w:p>
    <w:p w:rsidR="00225321" w:rsidRDefault="00225321" w:rsidP="00BB12C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C064A">
        <w:rPr>
          <w:rFonts w:ascii="Tahoma" w:hAnsi="Tahoma" w:cs="Tahoma"/>
          <w:color w:val="auto"/>
          <w:sz w:val="20"/>
          <w:szCs w:val="20"/>
        </w:rPr>
        <w:t xml:space="preserve">Objednávateľ zabezpečí na vlastné náklady vybudovanie základov a iné technické a prevádzkové podmienky na dodanie a montáž a uvedenie do prevádzky predmetu zmluvy a to v lehotách požadovaných dodávateľom, ak to bude potrebné, a to v súlade s dokumentáciou s názvom „Stavebná a technická pripravenosť objednávateľa“, ktorý dodávateľ preukázateľné doručí objednávateľov najneskôr do 5 pracovných dní od dňa nadobudnutia platnosti a účinnosti tejto zmluvy. </w:t>
      </w:r>
    </w:p>
    <w:p w:rsidR="001A44AA" w:rsidRPr="001A44AA" w:rsidRDefault="001A44AA" w:rsidP="00BB12C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3576EF">
        <w:rPr>
          <w:rFonts w:ascii="Tahoma" w:hAnsi="Tahoma" w:cs="Tahoma"/>
          <w:color w:val="auto"/>
          <w:sz w:val="20"/>
          <w:szCs w:val="20"/>
        </w:rPr>
        <w:t>Zmluvné strany sa dohodli, že po dodaní a vyložení všetkých komponentov predmetu zmluvy v mieste dodania</w:t>
      </w:r>
      <w:r>
        <w:rPr>
          <w:rFonts w:ascii="Tahoma" w:hAnsi="Tahoma" w:cs="Tahoma"/>
          <w:color w:val="auto"/>
          <w:sz w:val="20"/>
          <w:szCs w:val="20"/>
        </w:rPr>
        <w:t xml:space="preserve"> predmetu zmluvy</w:t>
      </w:r>
      <w:r w:rsidRPr="003576EF">
        <w:rPr>
          <w:rFonts w:ascii="Tahoma" w:hAnsi="Tahoma" w:cs="Tahoma"/>
          <w:color w:val="auto"/>
          <w:sz w:val="20"/>
          <w:szCs w:val="20"/>
        </w:rPr>
        <w:t xml:space="preserve"> poverení zástupcovia zmluvných strán o tom spíšu písomný záznam </w:t>
      </w:r>
      <w:r>
        <w:rPr>
          <w:rFonts w:ascii="Tahoma" w:hAnsi="Tahoma" w:cs="Tahoma"/>
          <w:color w:val="auto"/>
          <w:sz w:val="20"/>
          <w:szCs w:val="20"/>
        </w:rPr>
        <w:t xml:space="preserve">– Dodací list o dodaní všetkých komponentov predmetu zmluvy. </w:t>
      </w:r>
    </w:p>
    <w:p w:rsidR="00225321" w:rsidRPr="00F015EA" w:rsidRDefault="00225321" w:rsidP="00BB12CF">
      <w:pPr>
        <w:widowControl w:val="0"/>
        <w:numPr>
          <w:ilvl w:val="1"/>
          <w:numId w:val="24"/>
        </w:numPr>
        <w:tabs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a 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:rsidR="00225321" w:rsidRPr="00F015EA" w:rsidRDefault="00225321" w:rsidP="00BB12C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Nebezpečenstvo škody na predmete zmluvy, ako aj na veciach a materiáloch, potrebných na dodanie predmetu zmluvy znášať dodávateľ až do času písomného  prevzatia predmetu zmluvy objednávateľom, t.j. podpisu protokolu o prebratí predmetu zmluvy, pričom objednávateľ zabezpečí že do miesta umiestnenia predmetu zmluvy zabezpečí prístup výhradne zástupcom dodávateľa.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24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25321" w:rsidRPr="00F015EA" w:rsidRDefault="00225321" w:rsidP="00BB12C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225321" w:rsidRPr="00F015EA" w:rsidRDefault="00225321" w:rsidP="00BB12C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25321" w:rsidRPr="00F015EA" w:rsidRDefault="00225321" w:rsidP="00BB12C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225321" w:rsidRPr="00F015EA" w:rsidRDefault="00225321" w:rsidP="00BB12C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- odstránenie reklamovanej vady bezplatne v mieste umiestenia predmetu zmluvy a </w:t>
      </w:r>
    </w:p>
    <w:p w:rsidR="00225321" w:rsidRPr="0020687B" w:rsidRDefault="00225321" w:rsidP="00225321">
      <w:pPr>
        <w:pStyle w:val="Zkladntext3"/>
        <w:ind w:left="720"/>
        <w:jc w:val="both"/>
        <w:rPr>
          <w:rFonts w:ascii="Tahoma" w:hAnsi="Tahoma" w:cs="Tahoma"/>
          <w:b/>
          <w:sz w:val="20"/>
        </w:rPr>
      </w:pPr>
      <w:r w:rsidRPr="0020687B">
        <w:rPr>
          <w:rFonts w:ascii="Tahoma" w:hAnsi="Tahoma" w:cs="Tahoma"/>
          <w:sz w:val="20"/>
        </w:rPr>
        <w:t xml:space="preserve">- reakciu </w:t>
      </w:r>
      <w:r>
        <w:rPr>
          <w:rFonts w:ascii="Tahoma" w:hAnsi="Tahoma" w:cs="Tahoma"/>
          <w:sz w:val="20"/>
        </w:rPr>
        <w:t>dodávateľa</w:t>
      </w:r>
      <w:r w:rsidRPr="0020687B">
        <w:rPr>
          <w:rFonts w:ascii="Tahoma" w:hAnsi="Tahoma" w:cs="Tahoma"/>
          <w:sz w:val="20"/>
        </w:rPr>
        <w:t xml:space="preserve"> na reklamovanú vadu do 12 hodín od jej nahlásenia </w:t>
      </w:r>
      <w:r>
        <w:rPr>
          <w:rFonts w:ascii="Tahoma" w:hAnsi="Tahoma" w:cs="Tahoma"/>
          <w:sz w:val="20"/>
        </w:rPr>
        <w:t>dodávateľovi</w:t>
      </w:r>
      <w:r w:rsidRPr="0020687B">
        <w:rPr>
          <w:rFonts w:ascii="Tahoma" w:hAnsi="Tahoma" w:cs="Tahoma"/>
          <w:sz w:val="20"/>
        </w:rPr>
        <w:t xml:space="preserve"> a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 reakciu dodávateľa na reklamovanú vadu do 24 hodín od jej nahlásenia dodávateľovi a</w:t>
      </w:r>
    </w:p>
    <w:p w:rsidR="00225321" w:rsidRPr="0020687B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- </w:t>
      </w:r>
      <w:r w:rsidRPr="0020687B">
        <w:rPr>
          <w:rFonts w:ascii="Tahoma" w:hAnsi="Tahoma" w:cs="Tahoma"/>
          <w:sz w:val="20"/>
        </w:rPr>
        <w:t xml:space="preserve">odstránenie reklamovanej vady najneskôr do 48 hodín od </w:t>
      </w:r>
      <w:r>
        <w:rPr>
          <w:rFonts w:ascii="Tahoma" w:hAnsi="Tahoma" w:cs="Tahoma"/>
          <w:sz w:val="20"/>
        </w:rPr>
        <w:t xml:space="preserve">jej </w:t>
      </w:r>
      <w:r w:rsidRPr="0020687B">
        <w:rPr>
          <w:rFonts w:ascii="Tahoma" w:hAnsi="Tahoma" w:cs="Tahoma"/>
          <w:sz w:val="20"/>
        </w:rPr>
        <w:t xml:space="preserve">nahlásenie </w:t>
      </w:r>
      <w:r>
        <w:rPr>
          <w:rFonts w:ascii="Tahoma" w:hAnsi="Tahoma" w:cs="Tahoma"/>
          <w:sz w:val="20"/>
        </w:rPr>
        <w:t>dodávateľovi a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t xml:space="preserve">- </w:t>
      </w:r>
      <w:r>
        <w:rPr>
          <w:rFonts w:ascii="Tahoma" w:hAnsi="Tahoma" w:cs="Arial"/>
          <w:sz w:val="20"/>
        </w:rPr>
        <w:t xml:space="preserve">dodávku náhradných dielov alebo spotrebného materiálu nevyhnutného na zabezpečenie riadnej  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  prevádzky predmetu zmluvy do 48 hodín od nahlásenia objednávky dodávateľovi.</w:t>
      </w:r>
    </w:p>
    <w:p w:rsidR="00B60DEF" w:rsidRDefault="00B60DEF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</w:p>
    <w:p w:rsidR="00225321" w:rsidRPr="00F015EA" w:rsidRDefault="00225321" w:rsidP="00BB12C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225321" w:rsidRPr="00F015EA" w:rsidRDefault="00225321" w:rsidP="00BB12C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0459B7" w:rsidRDefault="000459B7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0459B7" w:rsidRDefault="000459B7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0459B7" w:rsidRDefault="000459B7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VIII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IX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Osobitné ustanovenia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ak predmet zmluvy nebude spĺňať čo i len jeden z parametrov, uvedených v </w:t>
      </w:r>
      <w:r w:rsidRPr="00A14050">
        <w:rPr>
          <w:rFonts w:ascii="Tahoma" w:hAnsi="Tahoma" w:cs="Tahoma"/>
          <w:sz w:val="20"/>
          <w:szCs w:val="20"/>
          <w:lang w:val="sk-SK"/>
        </w:rPr>
        <w:t>tejto zmluve a Prílohe č. 1 tejto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 a dodávateľ nemá právo vzniesť žiadne nároky voči objednávateľovi.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25321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225321" w:rsidRPr="00321C6B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25321" w:rsidRPr="00321C6B" w:rsidRDefault="00225321" w:rsidP="00BB12C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Obchodné meno:</w:t>
      </w:r>
    </w:p>
    <w:p w:rsidR="00225321" w:rsidRPr="00321C6B" w:rsidRDefault="00225321" w:rsidP="00BB12C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Sídlo/ miesto podnikania:</w:t>
      </w:r>
    </w:p>
    <w:p w:rsidR="00225321" w:rsidRPr="00321C6B" w:rsidRDefault="00225321" w:rsidP="00BB12C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IČO:</w:t>
      </w:r>
    </w:p>
    <w:p w:rsidR="00225321" w:rsidRPr="00321C6B" w:rsidRDefault="00225321" w:rsidP="00BB12C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25321" w:rsidRPr="007F59BC" w:rsidRDefault="00225321" w:rsidP="007F59BC">
      <w:pPr>
        <w:pStyle w:val="Odsekzoznamu"/>
        <w:ind w:left="720"/>
        <w:jc w:val="both"/>
        <w:rPr>
          <w:rFonts w:ascii="Tahoma" w:hAnsi="Tahoma" w:cs="Tahoma"/>
          <w:color w:val="auto"/>
          <w:sz w:val="16"/>
          <w:szCs w:val="16"/>
        </w:rPr>
      </w:pPr>
      <w:r w:rsidRPr="007F59BC">
        <w:rPr>
          <w:rFonts w:ascii="Tahoma" w:hAnsi="Tahoma" w:cs="Tahoma"/>
          <w:color w:val="auto"/>
          <w:sz w:val="16"/>
          <w:szCs w:val="16"/>
        </w:rPr>
        <w:t>(uchádzač použije toľko krát koľko uvádza subdodávateľov)</w:t>
      </w:r>
    </w:p>
    <w:p w:rsidR="00225321" w:rsidRPr="00321C6B" w:rsidRDefault="00225321" w:rsidP="00225321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225321" w:rsidRPr="00321C6B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225321" w:rsidRPr="00321C6B" w:rsidRDefault="00225321" w:rsidP="00225321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ab/>
      </w:r>
    </w:p>
    <w:p w:rsidR="00225321" w:rsidRPr="00321C6B" w:rsidRDefault="00225321" w:rsidP="00BB12C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321C6B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321C6B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7F59BC" w:rsidRDefault="007F59BC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7F59BC" w:rsidRDefault="007F59BC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X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Záverečné ustanovenia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lastRenderedPageBreak/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25321" w:rsidRPr="00F015EA" w:rsidRDefault="00225321" w:rsidP="00BB12C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25321" w:rsidRPr="00F015EA" w:rsidRDefault="00225321" w:rsidP="00225321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25321" w:rsidRPr="00F015EA" w:rsidRDefault="00225321" w:rsidP="00BB12C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25321" w:rsidRPr="00F015EA" w:rsidRDefault="00225321" w:rsidP="00BB12CF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25321" w:rsidRDefault="00225321" w:rsidP="00BB12CF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225321" w:rsidRPr="00F015EA" w:rsidRDefault="00225321" w:rsidP="0022532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225321" w:rsidRPr="00F015EA" w:rsidRDefault="00225321" w:rsidP="0022532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ab/>
      </w:r>
    </w:p>
    <w:p w:rsidR="00225321" w:rsidRPr="00F015EA" w:rsidRDefault="00225321" w:rsidP="002253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Bošany,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225321" w:rsidRPr="00F015EA" w:rsidRDefault="00225321" w:rsidP="002253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25321" w:rsidRPr="00F015EA" w:rsidRDefault="00225321" w:rsidP="002253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25321" w:rsidRPr="00F015EA" w:rsidRDefault="00225321" w:rsidP="00225321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225321" w:rsidRDefault="002E5951" w:rsidP="00B60DE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Martin Miškeje</w:t>
      </w:r>
      <w:r w:rsidR="00225321" w:rsidRPr="00F015EA">
        <w:rPr>
          <w:rFonts w:ascii="Tahoma" w:hAnsi="Tahoma" w:cs="Tahoma"/>
          <w:sz w:val="20"/>
          <w:szCs w:val="20"/>
        </w:rPr>
        <w:t>, konateľ</w:t>
      </w:r>
    </w:p>
    <w:p w:rsidR="00035585" w:rsidRDefault="00225321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Pr="00035585" w:rsidRDefault="00035585" w:rsidP="007F59BC">
      <w:pPr>
        <w:pStyle w:val="Zkladntext211"/>
        <w:widowControl w:val="0"/>
        <w:spacing w:after="24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>Prílohy</w:t>
      </w:r>
      <w:r w:rsidRPr="00035585">
        <w:rPr>
          <w:rFonts w:ascii="Tahoma" w:hAnsi="Tahoma" w:cs="Tahoma"/>
          <w:b/>
          <w:sz w:val="20"/>
          <w:szCs w:val="20"/>
          <w:lang w:val="sk-SK"/>
        </w:rPr>
        <w:t xml:space="preserve"> zmluvy pre Časť 1. predmetu zákazky</w:t>
      </w:r>
    </w:p>
    <w:p w:rsidR="00035585" w:rsidRPr="00035585" w:rsidRDefault="00035585" w:rsidP="007F59BC">
      <w:pPr>
        <w:pStyle w:val="Odsekzoznamu"/>
        <w:spacing w:after="24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035585">
        <w:rPr>
          <w:rFonts w:ascii="Tahoma" w:hAnsi="Tahoma" w:cs="Tahoma"/>
          <w:b/>
          <w:sz w:val="20"/>
          <w:szCs w:val="20"/>
        </w:rPr>
        <w:t>linka na automatické navažovanie</w:t>
      </w:r>
    </w:p>
    <w:p w:rsidR="00035585" w:rsidRDefault="00035585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35585" w:rsidRDefault="000355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01B17" w:rsidRPr="00FC7257" w:rsidRDefault="00901B17" w:rsidP="00225321">
      <w:pPr>
        <w:jc w:val="right"/>
        <w:rPr>
          <w:rFonts w:ascii="Tahoma" w:hAnsi="Tahoma" w:cs="Tahoma"/>
          <w:b/>
          <w:sz w:val="20"/>
          <w:szCs w:val="20"/>
        </w:rPr>
      </w:pPr>
      <w:r w:rsidRPr="00FC7257">
        <w:rPr>
          <w:rFonts w:ascii="Tahoma" w:hAnsi="Tahoma" w:cs="Tahoma"/>
          <w:b/>
          <w:sz w:val="20"/>
          <w:szCs w:val="20"/>
        </w:rPr>
        <w:lastRenderedPageBreak/>
        <w:t>Príloha č. 1</w:t>
      </w:r>
    </w:p>
    <w:p w:rsidR="000459B7" w:rsidRDefault="000459B7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901B17" w:rsidRDefault="00901B17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FC7257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0459B7" w:rsidRPr="00FC7257" w:rsidRDefault="000459B7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Style w:val="Mriekatabuky"/>
        <w:tblW w:w="9355" w:type="dxa"/>
        <w:tblInd w:w="534" w:type="dxa"/>
        <w:tblLayout w:type="fixed"/>
        <w:tblLook w:val="04A0"/>
      </w:tblPr>
      <w:tblGrid>
        <w:gridCol w:w="1079"/>
        <w:gridCol w:w="6008"/>
        <w:gridCol w:w="1418"/>
        <w:gridCol w:w="850"/>
      </w:tblGrid>
      <w:tr w:rsidR="00FC7257" w:rsidRPr="00255F70" w:rsidTr="00FC7257">
        <w:trPr>
          <w:trHeight w:val="351"/>
        </w:trPr>
        <w:tc>
          <w:tcPr>
            <w:tcW w:w="7087" w:type="dxa"/>
            <w:gridSpan w:val="2"/>
          </w:tcPr>
          <w:p w:rsidR="00FC7257" w:rsidRPr="00FC7257" w:rsidRDefault="00FC7257" w:rsidP="000A1EC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C7257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418" w:type="dxa"/>
            <w:noWrap/>
            <w:hideMark/>
          </w:tcPr>
          <w:p w:rsidR="00FC7257" w:rsidRPr="00FC7257" w:rsidRDefault="00FC7257" w:rsidP="00FC725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FC7257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850" w:type="dxa"/>
            <w:noWrap/>
            <w:hideMark/>
          </w:tcPr>
          <w:p w:rsidR="00FC7257" w:rsidRPr="00FC7257" w:rsidRDefault="00FC7257" w:rsidP="00FC7257">
            <w:pPr>
              <w:ind w:left="-108" w:right="-71"/>
              <w:rPr>
                <w:rFonts w:ascii="Tahoma" w:hAnsi="Tahoma" w:cs="Tahoma"/>
                <w:bCs/>
                <w:sz w:val="20"/>
                <w:szCs w:val="20"/>
              </w:rPr>
            </w:pPr>
            <w:r w:rsidRPr="00FC7257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pStyle w:val="Odsekzoznamu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Linka  musí automaticky odoberať zo zásobných nádrží a musí odobraté množstvo suroviny  z každej zásobnej nádrže presne navážiť podľa konkrétneho receptu a následne transportovať do spoločného vreca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Linka musí obsahovať zariadenie na popis vreca s naváženými surovinami podľa receptúry – minimálne v rozsahu – popis obsahu s uvedením jednotlivých surovín a ich hmotnostných podielov + čiarový kód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524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Linka musí umožniť automatické plnenie všetkých zásobných nadrží s využitím bezdrôtovej čítačky čiarových kódov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Počet zásobných nádrží na suroviny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Objem zásobnej nádrží na suroviny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Linka musí obsahovať zariadenie na dopravu prázdnych a navážených vriec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Počet plných vriec v zásobník zariadenia na dopravu navážených vriec so surovinami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Počet prázdnych vriec v zásobník zariadenia na dopravu navážených vriec so surovinami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Užitočný objem navažovaného vreca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Linka musí obsahovať automatické vážiace zariadenie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BB12CF">
            <w:pPr>
              <w:pStyle w:val="Odsekzoznamu"/>
              <w:numPr>
                <w:ilvl w:val="0"/>
                <w:numId w:val="25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Maximálna hmotnosť vážená automatickým vážiacim zariadením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Maximálna odchýlka automatického vážiaceho  zariadenia  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pStyle w:val="Odsekzoznamu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Linka musí byť vybavený odsávacou a filtračnou jednotkou certifikovanou podľa smernice</w:t>
            </w:r>
            <w:r w:rsidRPr="00FC7257">
              <w:rPr>
                <w:rFonts w:ascii="Tahoma" w:hAnsi="Tahoma" w:cs="Tahoma"/>
                <w:bCs/>
                <w:sz w:val="20"/>
                <w:szCs w:val="20"/>
              </w:rPr>
              <w:t xml:space="preserve"> ATEX 2014/34/EU</w:t>
            </w:r>
            <w:r w:rsidRPr="00FC7257">
              <w:rPr>
                <w:rFonts w:ascii="Tahoma" w:hAnsi="Tahoma" w:cs="Tahoma"/>
                <w:sz w:val="20"/>
                <w:szCs w:val="20"/>
              </w:rPr>
              <w:t>, pre odsávanie zhromažďovanie prachu vytvoreného počas plnenia zásobných nádrží, pri vydávaní surovín zo zásobných nádrží a pri navažovaní surovín do vriec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Linka musí byť vybavený bezpečnostným ventilom znemožňujúcim šírenie prípadného plameňa z filtrační jednotky do linky podľa smernice</w:t>
            </w:r>
            <w:r w:rsidRPr="00FC7257">
              <w:rPr>
                <w:rFonts w:ascii="Tahoma" w:hAnsi="Tahoma" w:cs="Tahoma"/>
                <w:bCs/>
                <w:sz w:val="20"/>
                <w:szCs w:val="20"/>
              </w:rPr>
              <w:t xml:space="preserve"> ATEX 2014/34/EU.</w:t>
            </w:r>
          </w:p>
        </w:tc>
        <w:tc>
          <w:tcPr>
            <w:tcW w:w="1418" w:type="dxa"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7087" w:type="dxa"/>
            <w:gridSpan w:val="2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Maximálny výkon linky -  počet vriec za 24 hodín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 w:val="restart"/>
            <w:noWrap/>
            <w:textDirection w:val="btLr"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Programové vybavení - software</w:t>
            </w:r>
          </w:p>
        </w:tc>
        <w:tc>
          <w:tcPr>
            <w:tcW w:w="6008" w:type="dxa"/>
          </w:tcPr>
          <w:p w:rsidR="00FC7257" w:rsidRPr="00FC7257" w:rsidRDefault="00FC7257" w:rsidP="000A1EC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linka musí obsahovať programové vybavenie –softvér s nižšie uvedenými funkciami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  <w:textDirection w:val="btLr"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riadi celý systém skladovania a navažovania surovín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vytvára a archivuje receptúry vytvorených návažiek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245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umožňuje komunikovať s firemným softvérom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vykonáva diagnostiku celého výrobného zariadenia a výsledky vzdialene zdieľa s výrobcom alebo servisným strediskom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zobrazuje informácie o prevádzke celej linky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umožňuje diaľkové riadenie výrobného procesu (kancelárie, alebo iného miesta)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 w:val="restart"/>
            <w:noWrap/>
            <w:textDirection w:val="btLr"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Ručná navažovacia stanica </w:t>
            </w: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linka musí obsahovať ručnú navažovaciu stanicu s nižšie uvedeným parametrami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  <w:textDirection w:val="btLr"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maximálna hmotnosť vážená ručným vážiacim zariadením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maximálna odchýlka ručného vážiaceho  zariadenia 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displej s prístupom k softvéru a k receptúram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19"/>
        </w:trPr>
        <w:tc>
          <w:tcPr>
            <w:tcW w:w="1079" w:type="dxa"/>
            <w:vMerge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8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čítačka čiarových kódov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255F70" w:rsidTr="00FC7257">
        <w:trPr>
          <w:trHeight w:val="300"/>
        </w:trPr>
        <w:tc>
          <w:tcPr>
            <w:tcW w:w="7087" w:type="dxa"/>
            <w:gridSpan w:val="2"/>
            <w:noWrap/>
          </w:tcPr>
          <w:p w:rsidR="00FC7257" w:rsidRDefault="00FC7257" w:rsidP="00FC7257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Maximálne rozmery pre zastavanie linky (bez samostatnej filtračnej jednotky)   - šírka</w:t>
            </w:r>
          </w:p>
          <w:p w:rsidR="00FC7257" w:rsidRPr="00FC7257" w:rsidRDefault="00FC7257" w:rsidP="00FC7257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- dĺžka </w:t>
            </w:r>
          </w:p>
        </w:tc>
        <w:tc>
          <w:tcPr>
            <w:tcW w:w="1418" w:type="dxa"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</w:tbl>
    <w:p w:rsidR="00901B17" w:rsidRPr="00A14050" w:rsidRDefault="00901B17" w:rsidP="00901B17">
      <w:pPr>
        <w:rPr>
          <w:rFonts w:ascii="Tahoma" w:hAnsi="Tahoma" w:cs="Tahoma"/>
          <w:b/>
          <w:color w:val="FF0000"/>
          <w:sz w:val="20"/>
          <w:szCs w:val="20"/>
        </w:rPr>
      </w:pPr>
      <w:r w:rsidRPr="000A57F0">
        <w:rPr>
          <w:rFonts w:ascii="Tahoma" w:hAnsi="Tahoma" w:cs="Tahoma"/>
          <w:b/>
          <w:color w:val="FF0000"/>
          <w:sz w:val="16"/>
          <w:szCs w:val="16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901B17" w:rsidRDefault="00901B17" w:rsidP="00901B17">
      <w:pPr>
        <w:pStyle w:val="Zkladntext211"/>
        <w:widowControl w:val="0"/>
        <w:ind w:right="0"/>
        <w:rPr>
          <w:rFonts w:ascii="Tahoma" w:hAnsi="Tahoma" w:cs="Tahoma"/>
          <w:sz w:val="20"/>
          <w:szCs w:val="20"/>
          <w:lang w:val="sk-SK"/>
        </w:rPr>
      </w:pPr>
    </w:p>
    <w:p w:rsidR="007F6575" w:rsidRDefault="007F6575" w:rsidP="00901B17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286DD3" w:rsidRPr="00F015EA" w:rsidRDefault="00286DD3" w:rsidP="00286DD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lastRenderedPageBreak/>
        <w:t>v Bošany,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286DD3" w:rsidRPr="00F015EA" w:rsidRDefault="00286DD3" w:rsidP="00286DD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86DD3" w:rsidRPr="00F015EA" w:rsidRDefault="00286DD3" w:rsidP="00286DD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86DD3" w:rsidRPr="00F015EA" w:rsidRDefault="00286DD3" w:rsidP="00286DD3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286DD3" w:rsidRDefault="00286DD3" w:rsidP="00286DD3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JUDr. Martin Miškeje</w:t>
      </w:r>
      <w:r w:rsidRPr="00F015EA">
        <w:rPr>
          <w:rFonts w:ascii="Tahoma" w:hAnsi="Tahoma" w:cs="Tahoma"/>
          <w:sz w:val="20"/>
          <w:szCs w:val="20"/>
        </w:rPr>
        <w:t>, konateľ</w:t>
      </w: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0A1EC8" w:rsidRDefault="00225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7F6575" w:rsidRPr="00EC0BC0" w:rsidRDefault="007F6575" w:rsidP="00035585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EC0BC0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035585" w:rsidRDefault="00035585" w:rsidP="007F657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7F657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7F6575" w:rsidRPr="00EC0BC0" w:rsidRDefault="007F6575" w:rsidP="007F657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EC0BC0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7F6575" w:rsidRPr="00EC0BC0" w:rsidRDefault="007F6575" w:rsidP="007F6575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668"/>
        <w:gridCol w:w="141"/>
        <w:gridCol w:w="6521"/>
        <w:gridCol w:w="1559"/>
      </w:tblGrid>
      <w:tr w:rsidR="007F6575" w:rsidRPr="00EC0BC0" w:rsidTr="000127D7">
        <w:tc>
          <w:tcPr>
            <w:tcW w:w="1668" w:type="dxa"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662" w:type="dxa"/>
            <w:gridSpan w:val="2"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7F6575" w:rsidRPr="00EC0BC0" w:rsidTr="000127D7">
        <w:tc>
          <w:tcPr>
            <w:tcW w:w="8330" w:type="dxa"/>
            <w:gridSpan w:val="3"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F6575" w:rsidRPr="00EC0BC0" w:rsidTr="000127D7">
        <w:tc>
          <w:tcPr>
            <w:tcW w:w="1809" w:type="dxa"/>
            <w:gridSpan w:val="2"/>
            <w:vMerge w:val="restart"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</w:tcPr>
          <w:p w:rsidR="007F6575" w:rsidRPr="00EC0BC0" w:rsidRDefault="007F6575" w:rsidP="000127D7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EC0BC0">
              <w:rPr>
                <w:rFonts w:ascii="Tahoma" w:hAnsi="Tahoma" w:cs="Tahoma"/>
                <w:sz w:val="20"/>
                <w:szCs w:val="20"/>
              </w:rPr>
              <w:t xml:space="preserve">Dodanie predmetu zmluvy </w:t>
            </w:r>
          </w:p>
        </w:tc>
        <w:tc>
          <w:tcPr>
            <w:tcW w:w="1559" w:type="dxa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F6575" w:rsidRPr="00EC0BC0" w:rsidTr="000127D7">
        <w:tc>
          <w:tcPr>
            <w:tcW w:w="1809" w:type="dxa"/>
            <w:gridSpan w:val="2"/>
            <w:vMerge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</w:tcPr>
          <w:p w:rsidR="007F6575" w:rsidRPr="00EC0BC0" w:rsidRDefault="007F6575" w:rsidP="000127D7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EC0BC0">
              <w:rPr>
                <w:rFonts w:ascii="Tahoma" w:hAnsi="Tahoma" w:cs="Tahoma"/>
                <w:color w:val="000000"/>
                <w:sz w:val="20"/>
                <w:szCs w:val="20"/>
              </w:rPr>
              <w:t>Montáž a uvedenie do prevádzky</w:t>
            </w:r>
            <w:r w:rsidR="007F59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C0BC0">
              <w:rPr>
                <w:rFonts w:ascii="Tahoma" w:hAnsi="Tahoma" w:cs="Tahoma"/>
                <w:color w:val="000000"/>
                <w:sz w:val="20"/>
                <w:szCs w:val="20"/>
              </w:rPr>
              <w:t>predmetu zmluvy</w:t>
            </w:r>
          </w:p>
        </w:tc>
        <w:tc>
          <w:tcPr>
            <w:tcW w:w="1559" w:type="dxa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F6575" w:rsidRPr="00EC0BC0" w:rsidTr="000127D7">
        <w:tc>
          <w:tcPr>
            <w:tcW w:w="8330" w:type="dxa"/>
            <w:gridSpan w:val="3"/>
            <w:vAlign w:val="center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7F6575" w:rsidRPr="00EC0BC0" w:rsidRDefault="007F6575" w:rsidP="000127D7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7F6575" w:rsidRPr="000A57F0" w:rsidRDefault="007F6575" w:rsidP="007F657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0A57F0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7F6575" w:rsidRPr="00EC0BC0" w:rsidRDefault="007F6575" w:rsidP="007F6575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7F6575" w:rsidRPr="00EC0BC0" w:rsidRDefault="007F6575" w:rsidP="007F657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7F6575" w:rsidRPr="00EC0BC0" w:rsidRDefault="007F6575" w:rsidP="007F657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EC0BC0">
        <w:rPr>
          <w:rFonts w:ascii="Tahoma" w:hAnsi="Tahoma" w:cs="Tahoma"/>
          <w:sz w:val="20"/>
          <w:szCs w:val="20"/>
          <w:lang w:val="sk-SK"/>
        </w:rPr>
        <w:t>v Bošany, dňa .........................</w:t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7F6575" w:rsidRPr="00EC0BC0" w:rsidRDefault="007F6575" w:rsidP="007F657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7F6575" w:rsidRPr="00EC0BC0" w:rsidRDefault="007F6575" w:rsidP="007F657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EC0BC0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……………………………………………………………</w:t>
      </w:r>
    </w:p>
    <w:p w:rsidR="007F6575" w:rsidRPr="00EC0BC0" w:rsidRDefault="007F6575" w:rsidP="007F6575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7F6575" w:rsidRPr="00EC0BC0" w:rsidRDefault="007F6575" w:rsidP="007F6575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Martin Miškeje</w:t>
      </w:r>
      <w:r w:rsidRPr="00EC0BC0">
        <w:rPr>
          <w:rFonts w:ascii="Tahoma" w:hAnsi="Tahoma" w:cs="Tahoma"/>
          <w:sz w:val="20"/>
          <w:szCs w:val="20"/>
        </w:rPr>
        <w:t>, konateľ</w:t>
      </w:r>
    </w:p>
    <w:p w:rsidR="007F6575" w:rsidRPr="00907368" w:rsidRDefault="007F6575" w:rsidP="007F6575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7F6575" w:rsidRPr="00907368" w:rsidRDefault="007F6575" w:rsidP="007F6575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7F6575" w:rsidRPr="00907368" w:rsidRDefault="007F6575" w:rsidP="007F6575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7F6575" w:rsidRPr="00907368" w:rsidRDefault="007F6575" w:rsidP="007F6575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7F6575" w:rsidRDefault="007F6575">
      <w:pPr>
        <w:rPr>
          <w:rFonts w:ascii="Tahoma" w:hAnsi="Tahoma" w:cs="Tahoma"/>
          <w:b/>
          <w:sz w:val="20"/>
          <w:szCs w:val="20"/>
        </w:rPr>
      </w:pPr>
    </w:p>
    <w:p w:rsidR="007F6575" w:rsidRDefault="007F6575">
      <w:pPr>
        <w:rPr>
          <w:rFonts w:ascii="Tahoma" w:hAnsi="Tahoma" w:cs="Tahoma"/>
          <w:b/>
          <w:sz w:val="20"/>
          <w:szCs w:val="20"/>
        </w:rPr>
      </w:pPr>
    </w:p>
    <w:p w:rsidR="007F6575" w:rsidRDefault="007F6575">
      <w:pPr>
        <w:rPr>
          <w:rFonts w:ascii="Tahoma" w:hAnsi="Tahoma" w:cs="Tahoma"/>
          <w:b/>
          <w:sz w:val="20"/>
          <w:szCs w:val="20"/>
        </w:rPr>
      </w:pPr>
    </w:p>
    <w:p w:rsidR="007F6575" w:rsidRDefault="007F65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03558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Pr="00035585" w:rsidRDefault="00035585" w:rsidP="007F59BC">
      <w:pPr>
        <w:pStyle w:val="Zkladntext211"/>
        <w:widowControl w:val="0"/>
        <w:spacing w:after="24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>Prílohy</w:t>
      </w:r>
      <w:r w:rsidRPr="00035585">
        <w:rPr>
          <w:rFonts w:ascii="Tahoma" w:hAnsi="Tahoma" w:cs="Tahoma"/>
          <w:b/>
          <w:sz w:val="20"/>
          <w:szCs w:val="20"/>
          <w:lang w:val="sk-SK"/>
        </w:rPr>
        <w:t xml:space="preserve"> zmluvy pre Časť </w:t>
      </w:r>
      <w:r>
        <w:rPr>
          <w:rFonts w:ascii="Tahoma" w:hAnsi="Tahoma" w:cs="Tahoma"/>
          <w:b/>
          <w:sz w:val="20"/>
          <w:szCs w:val="20"/>
          <w:lang w:val="sk-SK"/>
        </w:rPr>
        <w:t>2</w:t>
      </w:r>
      <w:r w:rsidRPr="00035585">
        <w:rPr>
          <w:rFonts w:ascii="Tahoma" w:hAnsi="Tahoma" w:cs="Tahoma"/>
          <w:b/>
          <w:sz w:val="20"/>
          <w:szCs w:val="20"/>
          <w:lang w:val="sk-SK"/>
        </w:rPr>
        <w:t>. predmetu zákazky</w:t>
      </w:r>
    </w:p>
    <w:p w:rsidR="00035585" w:rsidRPr="00035585" w:rsidRDefault="007F59BC" w:rsidP="00035585">
      <w:pPr>
        <w:ind w:left="5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035585" w:rsidRPr="00035585">
        <w:rPr>
          <w:rFonts w:ascii="Tahoma" w:hAnsi="Tahoma" w:cs="Tahoma"/>
          <w:b/>
          <w:sz w:val="20"/>
          <w:szCs w:val="20"/>
        </w:rPr>
        <w:t>ezrotorový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5585" w:rsidRPr="00035585">
        <w:rPr>
          <w:rFonts w:ascii="Tahoma" w:hAnsi="Tahoma" w:cs="Tahoma"/>
          <w:b/>
          <w:sz w:val="20"/>
          <w:szCs w:val="20"/>
        </w:rPr>
        <w:t>vulkameter MDR pre merania vulkanizačných vlastností kaučukovej zmesi</w:t>
      </w:r>
    </w:p>
    <w:p w:rsidR="007F6575" w:rsidRDefault="007F6575">
      <w:pPr>
        <w:rPr>
          <w:rFonts w:ascii="Tahoma" w:hAnsi="Tahoma" w:cs="Tahoma"/>
          <w:b/>
          <w:sz w:val="20"/>
          <w:szCs w:val="20"/>
        </w:rPr>
      </w:pPr>
    </w:p>
    <w:p w:rsidR="00035585" w:rsidRDefault="00035585">
      <w:pPr>
        <w:rPr>
          <w:rFonts w:ascii="Tahoma" w:hAnsi="Tahoma" w:cs="Tahoma"/>
          <w:b/>
          <w:sz w:val="20"/>
          <w:szCs w:val="20"/>
        </w:rPr>
      </w:pPr>
    </w:p>
    <w:p w:rsidR="00035585" w:rsidRDefault="000355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7F6575" w:rsidRPr="00FC7257" w:rsidRDefault="007F6575" w:rsidP="007F6575">
      <w:pPr>
        <w:jc w:val="right"/>
        <w:rPr>
          <w:rFonts w:ascii="Tahoma" w:hAnsi="Tahoma" w:cs="Tahoma"/>
          <w:b/>
          <w:sz w:val="20"/>
          <w:szCs w:val="20"/>
        </w:rPr>
      </w:pPr>
      <w:r w:rsidRPr="00FC7257">
        <w:rPr>
          <w:rFonts w:ascii="Tahoma" w:hAnsi="Tahoma" w:cs="Tahoma"/>
          <w:b/>
          <w:sz w:val="20"/>
          <w:szCs w:val="20"/>
        </w:rPr>
        <w:lastRenderedPageBreak/>
        <w:t>Príloha č. 1</w:t>
      </w:r>
    </w:p>
    <w:p w:rsidR="007F6575" w:rsidRPr="00FC7257" w:rsidRDefault="007F6575" w:rsidP="007F657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FC7257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7F6575" w:rsidRDefault="007F6575">
      <w:pPr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9781" w:type="dxa"/>
        <w:tblInd w:w="108" w:type="dxa"/>
        <w:tblLayout w:type="fixed"/>
        <w:tblLook w:val="04A0"/>
      </w:tblPr>
      <w:tblGrid>
        <w:gridCol w:w="567"/>
        <w:gridCol w:w="7230"/>
        <w:gridCol w:w="1134"/>
        <w:gridCol w:w="850"/>
      </w:tblGrid>
      <w:tr w:rsidR="000A1EC8" w:rsidRPr="00037547" w:rsidTr="007F6575">
        <w:trPr>
          <w:trHeight w:val="255"/>
        </w:trPr>
        <w:tc>
          <w:tcPr>
            <w:tcW w:w="9781" w:type="dxa"/>
            <w:gridSpan w:val="4"/>
            <w:noWrap/>
            <w:hideMark/>
          </w:tcPr>
          <w:p w:rsidR="000A1EC8" w:rsidRPr="00FC7257" w:rsidRDefault="000A1EC8" w:rsidP="000A1EC8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Počet kusov : 1 ks </w:t>
            </w:r>
          </w:p>
        </w:tc>
      </w:tr>
      <w:tr w:rsidR="007F6575" w:rsidRPr="00037547" w:rsidTr="007F6575">
        <w:trPr>
          <w:trHeight w:val="319"/>
        </w:trPr>
        <w:tc>
          <w:tcPr>
            <w:tcW w:w="7797" w:type="dxa"/>
            <w:gridSpan w:val="2"/>
            <w:noWrap/>
          </w:tcPr>
          <w:p w:rsidR="007F6575" w:rsidRPr="00FC7257" w:rsidRDefault="007F6575" w:rsidP="000A1E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134" w:type="dxa"/>
            <w:hideMark/>
          </w:tcPr>
          <w:p w:rsidR="007F6575" w:rsidRPr="00FC7257" w:rsidRDefault="007F6575" w:rsidP="000127D7">
            <w:pPr>
              <w:ind w:right="-13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FC7257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850" w:type="dxa"/>
            <w:noWrap/>
            <w:hideMark/>
          </w:tcPr>
          <w:p w:rsidR="007F6575" w:rsidRPr="00FC7257" w:rsidRDefault="007F6575" w:rsidP="000127D7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7257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FC7257" w:rsidRPr="00037547" w:rsidTr="00035585">
        <w:trPr>
          <w:trHeight w:val="237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Zariadenie vyhovuje minimálne normám ISO 6502-1, ISO 6502-3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199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Temperovanie obidvoch dosiek v rozmedzí od teploty okolia do 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FC7257" w:rsidRPr="00037547" w:rsidTr="00035585">
        <w:trPr>
          <w:trHeight w:val="231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Nezávislá regulácia teploty s rozlíšením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FC7257" w:rsidRPr="00037547" w:rsidTr="00035585">
        <w:trPr>
          <w:trHeight w:val="121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Meniteľná amplitúda oscilácie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</w:tr>
      <w:tr w:rsidR="00FC7257" w:rsidRPr="00037547" w:rsidTr="00035585">
        <w:trPr>
          <w:trHeight w:val="223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Pneumaticky uzatvárateľná skušobná komora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255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Chladiaci okruh na aktívne zníženie teploty skúšobnej komory 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7F6575">
        <w:trPr>
          <w:trHeight w:val="319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Možnosť mikrometrického nastavenia vzdialenosti medzi hornou a dolnou častou komory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209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Maximálny krútiaci moment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N*m</w:t>
            </w:r>
          </w:p>
        </w:tc>
      </w:tr>
      <w:tr w:rsidR="00FC7257" w:rsidRPr="00037547" w:rsidTr="00035585">
        <w:trPr>
          <w:trHeight w:val="241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Rozlíšenie senzoru krútiaceho momentu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dN*m</w:t>
            </w:r>
          </w:p>
        </w:tc>
      </w:tr>
      <w:tr w:rsidR="00FC7257" w:rsidRPr="00037547" w:rsidTr="00035585">
        <w:trPr>
          <w:trHeight w:val="131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Automatický podávač vzoriek, počet pripravených vzoriek</w:t>
            </w:r>
          </w:p>
        </w:tc>
        <w:tc>
          <w:tcPr>
            <w:tcW w:w="1134" w:type="dxa"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037547" w:rsidTr="00035585">
        <w:trPr>
          <w:trHeight w:val="163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Automatická regulácia na každú nastavenú vzorku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195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Separácia vzoriek od skúšobnej komory polyesterovou fóliou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227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Tlakový senzor na skúšky ľahčenej pryže inštalovaný vnútri skúšobnej komory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259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Kalibračný certifikát s overiteľnosťou základných parametrov merania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135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Maximálne rozmery bez podávača vzoriek (š x d x v)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C7257" w:rsidRPr="00037547" w:rsidTr="00035585">
        <w:trPr>
          <w:trHeight w:val="167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Hmotnosť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FC7257" w:rsidRPr="00037547" w:rsidTr="00035585">
        <w:trPr>
          <w:trHeight w:val="57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Regulátor tlaku stlačeného vzduch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89"/>
        </w:trPr>
        <w:tc>
          <w:tcPr>
            <w:tcW w:w="7797" w:type="dxa"/>
            <w:gridSpan w:val="2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Možnosť identifikácie skúšaných vzoriek čítačkou čiarových kódov</w:t>
            </w:r>
          </w:p>
        </w:tc>
        <w:tc>
          <w:tcPr>
            <w:tcW w:w="1134" w:type="dxa"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121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7257">
              <w:rPr>
                <w:rFonts w:ascii="Tahoma" w:hAnsi="Tahoma" w:cs="Tahoma"/>
                <w:bCs/>
                <w:sz w:val="20"/>
                <w:szCs w:val="20"/>
              </w:rPr>
              <w:t>Riadiaca stanica</w:t>
            </w: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Riadiaca jednotka - PC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037547" w:rsidTr="00035585">
        <w:trPr>
          <w:trHeight w:val="153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</w:tr>
      <w:tr w:rsidR="00FC7257" w:rsidRPr="00037547" w:rsidTr="00035585">
        <w:trPr>
          <w:trHeight w:val="186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Monitor - uhlopriečka</w:t>
            </w:r>
          </w:p>
        </w:tc>
        <w:tc>
          <w:tcPr>
            <w:tcW w:w="1134" w:type="dxa"/>
            <w:noWrap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FC7257" w:rsidRPr="00037547" w:rsidTr="00035585">
        <w:trPr>
          <w:trHeight w:val="217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1134" w:type="dxa"/>
            <w:noWrap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250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FC7257" w:rsidRPr="00FC7257" w:rsidRDefault="00FC7257" w:rsidP="000A1E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Prepojenie zaradenia prostredníctvom USB  </w:t>
            </w:r>
          </w:p>
        </w:tc>
        <w:tc>
          <w:tcPr>
            <w:tcW w:w="1134" w:type="dxa"/>
            <w:noWrap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217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C7257">
              <w:rPr>
                <w:rFonts w:ascii="Tahoma" w:hAnsi="Tahoma" w:cs="Tahoma"/>
                <w:bCs/>
                <w:sz w:val="20"/>
                <w:szCs w:val="20"/>
              </w:rPr>
              <w:t>Softvér na spracovanie výstupov</w:t>
            </w:r>
          </w:p>
        </w:tc>
        <w:tc>
          <w:tcPr>
            <w:tcW w:w="7230" w:type="dxa"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Software slúžiaci na komplexné ovládanie  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037547" w:rsidTr="00035585">
        <w:trPr>
          <w:trHeight w:val="157"/>
        </w:trPr>
        <w:tc>
          <w:tcPr>
            <w:tcW w:w="567" w:type="dxa"/>
            <w:vMerge/>
            <w:textDirection w:val="btLr"/>
            <w:vAlign w:val="center"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Databáza SQL na ukladanie a správu údajov</w:t>
            </w:r>
          </w:p>
        </w:tc>
        <w:tc>
          <w:tcPr>
            <w:tcW w:w="1134" w:type="dxa"/>
            <w:noWrap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C7257" w:rsidRPr="00037547" w:rsidTr="00035585">
        <w:trPr>
          <w:trHeight w:val="189"/>
        </w:trPr>
        <w:tc>
          <w:tcPr>
            <w:tcW w:w="567" w:type="dxa"/>
            <w:vMerge/>
            <w:textDirection w:val="btLr"/>
            <w:vAlign w:val="center"/>
          </w:tcPr>
          <w:p w:rsidR="00FC7257" w:rsidRPr="00FC7257" w:rsidRDefault="00FC7257" w:rsidP="000A1EC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Software a databázy v Slovenskom jazyku</w:t>
            </w:r>
          </w:p>
        </w:tc>
        <w:tc>
          <w:tcPr>
            <w:tcW w:w="1134" w:type="dxa"/>
            <w:noWrap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7F6575">
        <w:trPr>
          <w:trHeight w:val="300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Tvorba protokolov - možnosť generovania konfigurovateľných meracích protokolov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35585">
        <w:trPr>
          <w:trHeight w:val="157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Tvorba protokolov - možnosť vloženia nameraných hodnôt a tabuliek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81449">
        <w:trPr>
          <w:trHeight w:val="189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Tvorba protokolov - možnosť tvorby šablón protokolov pre neskoršie využitie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81449">
        <w:trPr>
          <w:trHeight w:val="235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Výstup vo forme protokolov: JPG, XLS, PDF, prípadne ďalšie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81449">
        <w:trPr>
          <w:trHeight w:val="125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Zobrazení kriviek v grafe (S´, S“, S*, G“) 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81449">
        <w:trPr>
          <w:trHeight w:val="157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Verifikácia zadaných tolerancií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81449">
        <w:trPr>
          <w:trHeight w:val="175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Možnosť nastavenia vlastných meracích procedúr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7257" w:rsidRPr="00037547" w:rsidTr="00081449">
        <w:trPr>
          <w:trHeight w:val="65"/>
        </w:trPr>
        <w:tc>
          <w:tcPr>
            <w:tcW w:w="567" w:type="dxa"/>
            <w:vMerge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noWrap/>
            <w:hideMark/>
          </w:tcPr>
          <w:p w:rsidR="00FC7257" w:rsidRPr="00FC7257" w:rsidRDefault="00FC7257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 xml:space="preserve">Aktualizácia softvérových licencií počas záručnej doby </w:t>
            </w:r>
          </w:p>
        </w:tc>
        <w:tc>
          <w:tcPr>
            <w:tcW w:w="1134" w:type="dxa"/>
            <w:noWrap/>
            <w:hideMark/>
          </w:tcPr>
          <w:p w:rsidR="00FC7257" w:rsidRPr="00FC7257" w:rsidRDefault="00FC7257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C7257" w:rsidRPr="00FC7257" w:rsidRDefault="00FC7257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25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7F6575" w:rsidRPr="00A14050" w:rsidRDefault="007F6575" w:rsidP="007F6575">
      <w:pPr>
        <w:rPr>
          <w:rFonts w:ascii="Tahoma" w:hAnsi="Tahoma" w:cs="Tahoma"/>
          <w:b/>
          <w:color w:val="FF0000"/>
          <w:sz w:val="20"/>
          <w:szCs w:val="20"/>
        </w:rPr>
      </w:pPr>
      <w:r w:rsidRPr="000A57F0">
        <w:rPr>
          <w:rFonts w:ascii="Tahoma" w:hAnsi="Tahoma" w:cs="Tahoma"/>
          <w:b/>
          <w:color w:val="FF0000"/>
          <w:sz w:val="16"/>
          <w:szCs w:val="16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225321" w:rsidRDefault="00225321">
      <w:pPr>
        <w:rPr>
          <w:rFonts w:ascii="Tahoma" w:hAnsi="Tahoma" w:cs="Tahoma"/>
          <w:b/>
          <w:sz w:val="20"/>
          <w:szCs w:val="20"/>
        </w:rPr>
      </w:pPr>
    </w:p>
    <w:p w:rsidR="00FC7257" w:rsidRPr="00EC0BC0" w:rsidRDefault="00FC7257" w:rsidP="00FC7257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EC0BC0">
        <w:rPr>
          <w:rFonts w:ascii="Tahoma" w:hAnsi="Tahoma" w:cs="Tahoma"/>
          <w:sz w:val="20"/>
          <w:szCs w:val="20"/>
          <w:lang w:val="sk-SK"/>
        </w:rPr>
        <w:t>v Bošany, dňa .........................</w:t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FC7257" w:rsidRPr="00EC0BC0" w:rsidRDefault="00FC7257" w:rsidP="00FC725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C7257" w:rsidRPr="00EC0BC0" w:rsidRDefault="00FC7257" w:rsidP="00FC725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EC0BC0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……………………………………………………………</w:t>
      </w:r>
    </w:p>
    <w:p w:rsidR="00FC7257" w:rsidRPr="00EC0BC0" w:rsidRDefault="00FC7257" w:rsidP="00FC7257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FC7257" w:rsidRPr="00EC0BC0" w:rsidRDefault="00FC7257" w:rsidP="00FC7257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Martin Miškeje</w:t>
      </w:r>
      <w:r w:rsidRPr="00EC0BC0">
        <w:rPr>
          <w:rFonts w:ascii="Tahoma" w:hAnsi="Tahoma" w:cs="Tahoma"/>
          <w:sz w:val="20"/>
          <w:szCs w:val="20"/>
        </w:rPr>
        <w:t>, konateľ</w:t>
      </w:r>
    </w:p>
    <w:p w:rsidR="000A1EC8" w:rsidRDefault="000A1EC8">
      <w:pPr>
        <w:rPr>
          <w:rFonts w:ascii="Tahoma" w:hAnsi="Tahoma" w:cs="Tahoma"/>
          <w:b/>
          <w:sz w:val="20"/>
          <w:szCs w:val="20"/>
        </w:rPr>
      </w:pPr>
    </w:p>
    <w:p w:rsidR="000A1EC8" w:rsidRDefault="000A1EC8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FC7257" w:rsidRDefault="00FC7257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01B17" w:rsidRPr="00EC0BC0" w:rsidRDefault="00901B17" w:rsidP="00901B17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EC0BC0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035585" w:rsidRDefault="00035585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035585" w:rsidRDefault="00035585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901B17" w:rsidRPr="00EC0BC0" w:rsidRDefault="00901B17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EC0BC0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901B17" w:rsidRPr="00EC0BC0" w:rsidRDefault="00901B17" w:rsidP="00901B17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668"/>
        <w:gridCol w:w="141"/>
        <w:gridCol w:w="6521"/>
        <w:gridCol w:w="1559"/>
      </w:tblGrid>
      <w:tr w:rsidR="00901B17" w:rsidRPr="00EC0BC0" w:rsidTr="00225321">
        <w:tc>
          <w:tcPr>
            <w:tcW w:w="1668" w:type="dxa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662" w:type="dxa"/>
            <w:gridSpan w:val="2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901B17" w:rsidRPr="00EC0BC0" w:rsidTr="00225321">
        <w:tc>
          <w:tcPr>
            <w:tcW w:w="8330" w:type="dxa"/>
            <w:gridSpan w:val="3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01B17" w:rsidRPr="00EC0BC0" w:rsidTr="00225321">
        <w:tc>
          <w:tcPr>
            <w:tcW w:w="1809" w:type="dxa"/>
            <w:gridSpan w:val="2"/>
            <w:vMerge w:val="restart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</w:tcPr>
          <w:p w:rsidR="00901B17" w:rsidRPr="00EC0BC0" w:rsidRDefault="00901B17" w:rsidP="00D74D5E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EC0BC0">
              <w:rPr>
                <w:rFonts w:ascii="Tahoma" w:hAnsi="Tahoma" w:cs="Tahoma"/>
                <w:sz w:val="20"/>
                <w:szCs w:val="20"/>
              </w:rPr>
              <w:t xml:space="preserve">Dodanie predmetu zmluvy 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01B17" w:rsidRPr="00EC0BC0" w:rsidTr="00225321">
        <w:tc>
          <w:tcPr>
            <w:tcW w:w="1809" w:type="dxa"/>
            <w:gridSpan w:val="2"/>
            <w:vMerge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</w:tcPr>
          <w:p w:rsidR="00901B17" w:rsidRPr="00EC0BC0" w:rsidRDefault="00901B17" w:rsidP="00D74D5E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EC0BC0">
              <w:rPr>
                <w:rFonts w:ascii="Tahoma" w:hAnsi="Tahoma" w:cs="Tahoma"/>
                <w:color w:val="000000"/>
                <w:sz w:val="20"/>
                <w:szCs w:val="20"/>
              </w:rPr>
              <w:t>Montáž a uvedenie do prevádzky</w:t>
            </w:r>
            <w:r w:rsidR="00D74D5E" w:rsidRPr="00EC0BC0">
              <w:rPr>
                <w:rFonts w:ascii="Tahoma" w:hAnsi="Tahoma" w:cs="Tahoma"/>
                <w:color w:val="000000"/>
                <w:sz w:val="20"/>
                <w:szCs w:val="20"/>
              </w:rPr>
              <w:t>predmetu zmluvy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01B17" w:rsidRPr="00EC0BC0" w:rsidTr="007F59BC">
        <w:tc>
          <w:tcPr>
            <w:tcW w:w="8330" w:type="dxa"/>
            <w:gridSpan w:val="3"/>
            <w:vAlign w:val="center"/>
          </w:tcPr>
          <w:p w:rsidR="00901B17" w:rsidRPr="00EC0BC0" w:rsidRDefault="00901B17" w:rsidP="007F59BC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901B17" w:rsidRPr="000A57F0" w:rsidRDefault="00901B17" w:rsidP="00901B17">
      <w:pPr>
        <w:pStyle w:val="Zkladntext211"/>
        <w:widowControl w:val="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0A57F0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901B17" w:rsidRPr="00EC0BC0" w:rsidRDefault="00901B17" w:rsidP="00901B17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901B17" w:rsidRPr="00EC0BC0" w:rsidRDefault="00901B17" w:rsidP="00901B17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901B17" w:rsidRPr="00EC0BC0" w:rsidRDefault="00901B17" w:rsidP="00901B17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EC0BC0">
        <w:rPr>
          <w:rFonts w:ascii="Tahoma" w:hAnsi="Tahoma" w:cs="Tahoma"/>
          <w:sz w:val="20"/>
          <w:szCs w:val="20"/>
          <w:lang w:val="sk-SK"/>
        </w:rPr>
        <w:t>v Bošany, dňa .........................</w:t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</w:r>
      <w:r w:rsidRPr="00EC0BC0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901B17" w:rsidRPr="00EC0BC0" w:rsidRDefault="00901B17" w:rsidP="00901B1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01B17" w:rsidRPr="00EC0BC0" w:rsidRDefault="00901B17" w:rsidP="00901B1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EC0BC0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……………………………………………………………</w:t>
      </w:r>
    </w:p>
    <w:p w:rsidR="00901B17" w:rsidRPr="00EC0BC0" w:rsidRDefault="00901B17" w:rsidP="00901B17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EC0BC0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901B17" w:rsidRPr="00EC0BC0" w:rsidRDefault="002E5951" w:rsidP="00901B17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Martin Miškeje</w:t>
      </w:r>
      <w:r w:rsidR="00901B17" w:rsidRPr="00EC0BC0">
        <w:rPr>
          <w:rFonts w:ascii="Tahoma" w:hAnsi="Tahoma" w:cs="Tahoma"/>
          <w:sz w:val="20"/>
          <w:szCs w:val="20"/>
        </w:rPr>
        <w:t>, konateľ</w:t>
      </w: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A81C30" w:rsidRPr="00907368" w:rsidSect="00A50F76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EC" w:rsidRDefault="00C33EEC" w:rsidP="00465A3B">
      <w:r>
        <w:separator/>
      </w:r>
    </w:p>
  </w:endnote>
  <w:endnote w:type="continuationSeparator" w:id="1">
    <w:p w:rsidR="00C33EEC" w:rsidRDefault="00C33EEC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F8" w:rsidRDefault="00A068F8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EC" w:rsidRDefault="00C33EEC" w:rsidP="00465A3B">
      <w:r>
        <w:separator/>
      </w:r>
    </w:p>
  </w:footnote>
  <w:footnote w:type="continuationSeparator" w:id="1">
    <w:p w:rsidR="00C33EEC" w:rsidRDefault="00C33EEC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1EB83368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92C59"/>
    <w:multiLevelType w:val="hybridMultilevel"/>
    <w:tmpl w:val="325E8DD8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CBC2D1A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104029"/>
    <w:multiLevelType w:val="multilevel"/>
    <w:tmpl w:val="457E875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32300B3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07C91"/>
    <w:multiLevelType w:val="hybridMultilevel"/>
    <w:tmpl w:val="26E207C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26"/>
  </w:num>
  <w:num w:numId="5">
    <w:abstractNumId w:val="17"/>
  </w:num>
  <w:num w:numId="6">
    <w:abstractNumId w:val="24"/>
  </w:num>
  <w:num w:numId="7">
    <w:abstractNumId w:val="29"/>
  </w:num>
  <w:num w:numId="8">
    <w:abstractNumId w:val="27"/>
  </w:num>
  <w:num w:numId="9">
    <w:abstractNumId w:val="37"/>
  </w:num>
  <w:num w:numId="10">
    <w:abstractNumId w:val="20"/>
  </w:num>
  <w:num w:numId="11">
    <w:abstractNumId w:val="15"/>
  </w:num>
  <w:num w:numId="12">
    <w:abstractNumId w:val="32"/>
  </w:num>
  <w:num w:numId="13">
    <w:abstractNumId w:val="25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40"/>
  </w:num>
  <w:num w:numId="23">
    <w:abstractNumId w:val="36"/>
  </w:num>
  <w:num w:numId="24">
    <w:abstractNumId w:val="34"/>
  </w:num>
  <w:num w:numId="25">
    <w:abstractNumId w:val="39"/>
  </w:num>
  <w:num w:numId="26">
    <w:abstractNumId w:val="23"/>
  </w:num>
  <w:num w:numId="27">
    <w:abstractNumId w:val="28"/>
  </w:num>
  <w:num w:numId="28">
    <w:abstractNumId w:val="22"/>
  </w:num>
  <w:num w:numId="29">
    <w:abstractNumId w:val="18"/>
  </w:num>
  <w:num w:numId="30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27D7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585"/>
    <w:rsid w:val="00035AB4"/>
    <w:rsid w:val="00035B57"/>
    <w:rsid w:val="00041E42"/>
    <w:rsid w:val="00043633"/>
    <w:rsid w:val="00043C00"/>
    <w:rsid w:val="000459B7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1449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1EC8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2955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44AA"/>
    <w:rsid w:val="001A72A2"/>
    <w:rsid w:val="001B0E42"/>
    <w:rsid w:val="001B4A79"/>
    <w:rsid w:val="001C20CC"/>
    <w:rsid w:val="001C51FB"/>
    <w:rsid w:val="001C6A73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352"/>
    <w:rsid w:val="0020753A"/>
    <w:rsid w:val="00210C10"/>
    <w:rsid w:val="00213E1F"/>
    <w:rsid w:val="002236A5"/>
    <w:rsid w:val="00224534"/>
    <w:rsid w:val="00225321"/>
    <w:rsid w:val="0023033F"/>
    <w:rsid w:val="002310DB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86DD3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FBA"/>
    <w:rsid w:val="002C4ABC"/>
    <w:rsid w:val="002C7D19"/>
    <w:rsid w:val="002D616F"/>
    <w:rsid w:val="002E1884"/>
    <w:rsid w:val="002E4BEB"/>
    <w:rsid w:val="002E5951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4437F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689C"/>
    <w:rsid w:val="003B7334"/>
    <w:rsid w:val="003C384A"/>
    <w:rsid w:val="003C3F1B"/>
    <w:rsid w:val="003C550C"/>
    <w:rsid w:val="003D08AD"/>
    <w:rsid w:val="003D2408"/>
    <w:rsid w:val="003D2831"/>
    <w:rsid w:val="003D396C"/>
    <w:rsid w:val="003D5FCC"/>
    <w:rsid w:val="003D682E"/>
    <w:rsid w:val="003D7579"/>
    <w:rsid w:val="003D7E7B"/>
    <w:rsid w:val="003E2342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0F64"/>
    <w:rsid w:val="004125D2"/>
    <w:rsid w:val="004169F3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33C3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048D"/>
    <w:rsid w:val="004C38EE"/>
    <w:rsid w:val="004C4389"/>
    <w:rsid w:val="004C73AD"/>
    <w:rsid w:val="004C7652"/>
    <w:rsid w:val="004C7746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1909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5C72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188D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1D81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2A9E"/>
    <w:rsid w:val="007A381B"/>
    <w:rsid w:val="007A6C8B"/>
    <w:rsid w:val="007B0D6A"/>
    <w:rsid w:val="007B284E"/>
    <w:rsid w:val="007B2BAA"/>
    <w:rsid w:val="007B2ECA"/>
    <w:rsid w:val="007B3707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9BC"/>
    <w:rsid w:val="007F5AFF"/>
    <w:rsid w:val="007F6575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5783C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0A71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4EFB"/>
    <w:rsid w:val="00906BA9"/>
    <w:rsid w:val="00907368"/>
    <w:rsid w:val="009074CB"/>
    <w:rsid w:val="0092234A"/>
    <w:rsid w:val="009231DC"/>
    <w:rsid w:val="009239D3"/>
    <w:rsid w:val="009239D4"/>
    <w:rsid w:val="00932B8E"/>
    <w:rsid w:val="0094031A"/>
    <w:rsid w:val="00941FC2"/>
    <w:rsid w:val="00942352"/>
    <w:rsid w:val="00952BD2"/>
    <w:rsid w:val="00960F1B"/>
    <w:rsid w:val="0096238E"/>
    <w:rsid w:val="00966D47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89F"/>
    <w:rsid w:val="009D2FC5"/>
    <w:rsid w:val="009D3C11"/>
    <w:rsid w:val="009D5A5D"/>
    <w:rsid w:val="009E1468"/>
    <w:rsid w:val="009E18EF"/>
    <w:rsid w:val="009E340D"/>
    <w:rsid w:val="009E388B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2600"/>
    <w:rsid w:val="00A04EFC"/>
    <w:rsid w:val="00A05EB1"/>
    <w:rsid w:val="00A06567"/>
    <w:rsid w:val="00A068F8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8B4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A2582"/>
    <w:rsid w:val="00AB15B3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AF64E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52F"/>
    <w:rsid w:val="00B40F65"/>
    <w:rsid w:val="00B419F7"/>
    <w:rsid w:val="00B446E6"/>
    <w:rsid w:val="00B451E6"/>
    <w:rsid w:val="00B45E5F"/>
    <w:rsid w:val="00B46967"/>
    <w:rsid w:val="00B50E3A"/>
    <w:rsid w:val="00B51B2C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12CF"/>
    <w:rsid w:val="00BB224F"/>
    <w:rsid w:val="00BB53CE"/>
    <w:rsid w:val="00BB6243"/>
    <w:rsid w:val="00BC0905"/>
    <w:rsid w:val="00BC520C"/>
    <w:rsid w:val="00BC61ED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155A5"/>
    <w:rsid w:val="00C22618"/>
    <w:rsid w:val="00C23620"/>
    <w:rsid w:val="00C258BA"/>
    <w:rsid w:val="00C330FE"/>
    <w:rsid w:val="00C33EEC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4584"/>
    <w:rsid w:val="00C7517A"/>
    <w:rsid w:val="00C77549"/>
    <w:rsid w:val="00C81C49"/>
    <w:rsid w:val="00C83344"/>
    <w:rsid w:val="00C84661"/>
    <w:rsid w:val="00C856AB"/>
    <w:rsid w:val="00C86B5A"/>
    <w:rsid w:val="00C92337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2493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0A24"/>
    <w:rsid w:val="00D914C5"/>
    <w:rsid w:val="00D93BFA"/>
    <w:rsid w:val="00D94106"/>
    <w:rsid w:val="00D97117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27496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1D64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3E87"/>
    <w:rsid w:val="00FA608E"/>
    <w:rsid w:val="00FB1738"/>
    <w:rsid w:val="00FB3A60"/>
    <w:rsid w:val="00FB3AD3"/>
    <w:rsid w:val="00FB4D58"/>
    <w:rsid w:val="00FB59F5"/>
    <w:rsid w:val="00FC043F"/>
    <w:rsid w:val="00FC0FD9"/>
    <w:rsid w:val="00FC1420"/>
    <w:rsid w:val="00FC4012"/>
    <w:rsid w:val="00FC47D6"/>
    <w:rsid w:val="00FC5112"/>
    <w:rsid w:val="00FC5288"/>
    <w:rsid w:val="00FC5434"/>
    <w:rsid w:val="00FC54DA"/>
    <w:rsid w:val="00FC6338"/>
    <w:rsid w:val="00FC7001"/>
    <w:rsid w:val="00FC7257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ubber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5B3-8E16-44EB-A573-1DCDB2E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21134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2022-11-22T12:34:00Z</cp:lastPrinted>
  <dcterms:created xsi:type="dcterms:W3CDTF">2022-11-22T12:51:00Z</dcterms:created>
  <dcterms:modified xsi:type="dcterms:W3CDTF">2022-11-22T12:54:00Z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